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76D" w:rsidRPr="00E8476D" w:rsidRDefault="00E8476D" w:rsidP="00E8476D">
      <w:pPr>
        <w:spacing w:line="400" w:lineRule="exact"/>
        <w:jc w:val="center"/>
        <w:rPr>
          <w:b/>
          <w:sz w:val="24"/>
          <w:szCs w:val="24"/>
        </w:rPr>
      </w:pPr>
      <w:r w:rsidRPr="00E8476D">
        <w:rPr>
          <w:rFonts w:ascii="宋体" w:hAnsi="宋体" w:hint="eastAsia"/>
          <w:b/>
          <w:sz w:val="24"/>
          <w:szCs w:val="24"/>
        </w:rPr>
        <w:t>证券投资学复习资料及答案</w:t>
      </w:r>
    </w:p>
    <w:p w:rsidR="00E8476D" w:rsidRDefault="00E8476D" w:rsidP="00E8476D">
      <w:pPr>
        <w:spacing w:beforeLines="100" w:line="400" w:lineRule="exact"/>
        <w:rPr>
          <w:rFonts w:ascii="黑体" w:eastAsia="黑体"/>
          <w:b/>
          <w:bCs/>
          <w:spacing w:val="16"/>
          <w:sz w:val="24"/>
          <w:szCs w:val="24"/>
        </w:rPr>
      </w:pPr>
      <w:r>
        <w:rPr>
          <w:rFonts w:ascii="黑体" w:eastAsia="黑体" w:hint="eastAsia"/>
          <w:b/>
          <w:bCs/>
          <w:spacing w:val="16"/>
          <w:sz w:val="24"/>
          <w:szCs w:val="24"/>
        </w:rPr>
        <w:t>一、选择题</w:t>
      </w:r>
    </w:p>
    <w:p w:rsidR="00E8476D" w:rsidRDefault="00E8476D" w:rsidP="00E8476D">
      <w:pPr>
        <w:spacing w:line="400" w:lineRule="exact"/>
        <w:rPr>
          <w:rFonts w:ascii="宋体" w:hAnsi="宋体" w:hint="eastAsia"/>
        </w:rPr>
      </w:pPr>
      <w:r>
        <w:rPr>
          <w:rFonts w:ascii="宋体" w:hAnsi="宋体" w:hint="eastAsia"/>
        </w:rPr>
        <w:t>1.买入债券持有一段时间后被赎回而得到的收益率为（    ）。</w:t>
      </w:r>
    </w:p>
    <w:p w:rsidR="00E8476D" w:rsidRDefault="00E8476D" w:rsidP="00E8476D">
      <w:pPr>
        <w:spacing w:line="400" w:lineRule="exact"/>
        <w:ind w:leftChars="228" w:left="479"/>
        <w:rPr>
          <w:rFonts w:ascii="宋体" w:hAnsi="宋体" w:hint="eastAsia"/>
        </w:rPr>
      </w:pPr>
      <w:r>
        <w:rPr>
          <w:rFonts w:ascii="宋体" w:hAnsi="宋体" w:hint="eastAsia"/>
        </w:rPr>
        <w:t>A.直接收益率              B.持有期收益率</w:t>
      </w:r>
      <w:r>
        <w:rPr>
          <w:rFonts w:ascii="宋体" w:hAnsi="宋体" w:hint="eastAsia"/>
        </w:rPr>
        <w:br/>
        <w:t xml:space="preserve">C.到期收益率              D.赎回收益率 </w:t>
      </w:r>
    </w:p>
    <w:p w:rsidR="00E8476D" w:rsidRDefault="00E8476D" w:rsidP="00E8476D">
      <w:pPr>
        <w:spacing w:line="400" w:lineRule="exact"/>
        <w:rPr>
          <w:rFonts w:ascii="宋体" w:hAnsi="宋体" w:cs="Arial" w:hint="eastAsia"/>
          <w:kern w:val="0"/>
        </w:rPr>
      </w:pPr>
      <w:r>
        <w:rPr>
          <w:rFonts w:ascii="宋体" w:hAnsi="宋体" w:cs="Arial" w:hint="eastAsia"/>
          <w:kern w:val="0"/>
        </w:rPr>
        <w:t>2.</w:t>
      </w:r>
      <w:r>
        <w:rPr>
          <w:rFonts w:ascii="宋体" w:hAnsi="宋体" w:cs="Arial" w:hint="eastAsia"/>
          <w:kern w:val="0"/>
        </w:rPr>
        <w:tab/>
        <w:t>购买力风险指的是因 ( C )变动而带来的证券投资风险。</w:t>
      </w:r>
    </w:p>
    <w:p w:rsidR="00E8476D" w:rsidRDefault="00E8476D" w:rsidP="00E8476D">
      <w:pPr>
        <w:widowControl/>
        <w:spacing w:line="400" w:lineRule="exact"/>
        <w:ind w:firstLine="420"/>
        <w:rPr>
          <w:rFonts w:ascii="宋体" w:hAnsi="宋体" w:cs="Arial" w:hint="eastAsia"/>
          <w:kern w:val="0"/>
        </w:rPr>
      </w:pPr>
      <w:r>
        <w:rPr>
          <w:rFonts w:ascii="宋体" w:hAnsi="宋体" w:cs="Arial" w:hint="eastAsia"/>
          <w:kern w:val="0"/>
        </w:rPr>
        <w:t>A、利率     B、汇率     C、物价      D、政策</w:t>
      </w:r>
    </w:p>
    <w:p w:rsidR="00E8476D" w:rsidRDefault="00E8476D" w:rsidP="00E8476D">
      <w:pPr>
        <w:spacing w:line="400" w:lineRule="exact"/>
        <w:rPr>
          <w:rFonts w:ascii="宋体" w:hAnsi="宋体" w:hint="eastAsia"/>
        </w:rPr>
      </w:pPr>
      <w:r>
        <w:rPr>
          <w:rFonts w:ascii="宋体" w:hAnsi="宋体" w:hint="eastAsia"/>
        </w:rPr>
        <w:t>3.</w:t>
      </w:r>
      <w:r>
        <w:rPr>
          <w:rFonts w:ascii="宋体" w:hAnsi="宋体" w:hint="eastAsia"/>
        </w:rPr>
        <w:tab/>
        <w:t>债券反映的是筹资者和投资者之间的(  )关系。</w:t>
      </w:r>
    </w:p>
    <w:p w:rsidR="00E8476D" w:rsidRDefault="00E8476D" w:rsidP="00E8476D">
      <w:pPr>
        <w:spacing w:line="400" w:lineRule="exact"/>
        <w:ind w:firstLine="420"/>
        <w:rPr>
          <w:rFonts w:ascii="宋体" w:hAnsi="宋体" w:hint="eastAsia"/>
        </w:rPr>
      </w:pPr>
      <w:r>
        <w:rPr>
          <w:rFonts w:ascii="宋体" w:hAnsi="宋体" w:hint="eastAsia"/>
        </w:rPr>
        <w:t>A、 债权     B、 所有权     C、 债务     D、 A和C</w:t>
      </w:r>
    </w:p>
    <w:p w:rsidR="00E8476D" w:rsidRDefault="00E8476D" w:rsidP="00E8476D">
      <w:pPr>
        <w:spacing w:line="400" w:lineRule="exact"/>
        <w:rPr>
          <w:rFonts w:ascii="宋体" w:hAnsi="宋体" w:hint="eastAsia"/>
        </w:rPr>
      </w:pPr>
      <w:r>
        <w:rPr>
          <w:rFonts w:ascii="宋体" w:hAnsi="宋体" w:hint="eastAsia"/>
        </w:rPr>
        <w:t>4.</w:t>
      </w:r>
      <w:r>
        <w:rPr>
          <w:rFonts w:ascii="宋体" w:hAnsi="宋体" w:hint="eastAsia"/>
        </w:rPr>
        <w:tab/>
        <w:t>以下关于封闭型投资基金的表述不正确的是（ D ）</w:t>
      </w:r>
    </w:p>
    <w:p w:rsidR="00E8476D" w:rsidRDefault="00E8476D" w:rsidP="00E8476D">
      <w:pPr>
        <w:spacing w:line="400" w:lineRule="exact"/>
        <w:ind w:firstLine="420"/>
        <w:rPr>
          <w:rFonts w:ascii="宋体" w:hAnsi="宋体" w:hint="eastAsia"/>
        </w:rPr>
      </w:pPr>
      <w:r>
        <w:rPr>
          <w:rFonts w:ascii="宋体" w:hAnsi="宋体" w:hint="eastAsia"/>
        </w:rPr>
        <w:t xml:space="preserve">A、期限一般为3－5年        B、规模固定     </w:t>
      </w:r>
    </w:p>
    <w:p w:rsidR="00E8476D" w:rsidRDefault="00E8476D" w:rsidP="00E8476D">
      <w:pPr>
        <w:spacing w:line="400" w:lineRule="exact"/>
        <w:ind w:firstLine="420"/>
        <w:rPr>
          <w:rFonts w:ascii="宋体" w:hAnsi="宋体" w:hint="eastAsia"/>
        </w:rPr>
      </w:pPr>
      <w:r>
        <w:rPr>
          <w:rFonts w:ascii="宋体" w:hAnsi="宋体" w:hint="eastAsia"/>
        </w:rPr>
        <w:t>C、交易价格受市场供求的影响    D、交易价格取决于基金资产净值</w:t>
      </w:r>
    </w:p>
    <w:p w:rsidR="00E8476D" w:rsidRDefault="00E8476D" w:rsidP="00E8476D">
      <w:pPr>
        <w:spacing w:line="400" w:lineRule="exact"/>
        <w:rPr>
          <w:rFonts w:ascii="宋体" w:hAnsi="宋体" w:hint="eastAsia"/>
        </w:rPr>
      </w:pPr>
      <w:r>
        <w:rPr>
          <w:rFonts w:ascii="宋体" w:hAnsi="宋体" w:hint="eastAsia"/>
        </w:rPr>
        <w:t>5.</w:t>
      </w:r>
      <w:r>
        <w:rPr>
          <w:rFonts w:ascii="宋体" w:hAnsi="宋体" w:hint="eastAsia"/>
        </w:rPr>
        <w:tab/>
        <w:t>一般情况下，中央银行采取宽松的货币政策将导致(   )</w:t>
      </w:r>
    </w:p>
    <w:p w:rsidR="00E8476D" w:rsidRDefault="00E8476D" w:rsidP="00E8476D">
      <w:pPr>
        <w:spacing w:line="400" w:lineRule="exact"/>
        <w:ind w:firstLine="420"/>
        <w:rPr>
          <w:rFonts w:ascii="宋体" w:hAnsi="宋体" w:hint="eastAsia"/>
        </w:rPr>
      </w:pPr>
      <w:r>
        <w:rPr>
          <w:rFonts w:ascii="宋体" w:hAnsi="宋体" w:hint="eastAsia"/>
        </w:rPr>
        <w:t>A、股价水平上升 B、股价水平下降 C、股价水平不变  D、股价水平盘整</w:t>
      </w:r>
    </w:p>
    <w:p w:rsidR="00E8476D" w:rsidRDefault="00E8476D" w:rsidP="00E8476D">
      <w:pPr>
        <w:spacing w:line="400" w:lineRule="exact"/>
        <w:rPr>
          <w:rFonts w:ascii="黑体" w:eastAsia="黑体" w:hint="eastAsia"/>
          <w:b/>
          <w:bCs/>
          <w:sz w:val="24"/>
          <w:szCs w:val="24"/>
        </w:rPr>
      </w:pPr>
      <w:r>
        <w:rPr>
          <w:rFonts w:ascii="黑体" w:eastAsia="黑体" w:hint="eastAsia"/>
          <w:b/>
          <w:bCs/>
          <w:sz w:val="24"/>
          <w:szCs w:val="24"/>
        </w:rPr>
        <w:t>二、名词解释</w:t>
      </w:r>
    </w:p>
    <w:p w:rsidR="00E8476D" w:rsidRDefault="00E8476D" w:rsidP="00E8476D">
      <w:pPr>
        <w:spacing w:line="400" w:lineRule="exact"/>
        <w:rPr>
          <w:rFonts w:hint="eastAsia"/>
        </w:rPr>
      </w:pPr>
      <w:r>
        <w:t>1.</w:t>
      </w:r>
      <w:r>
        <w:tab/>
      </w:r>
      <w:r>
        <w:rPr>
          <w:rFonts w:ascii="宋体" w:hAnsi="宋体" w:hint="eastAsia"/>
        </w:rPr>
        <w:t>间接投资</w:t>
      </w:r>
    </w:p>
    <w:p w:rsidR="00E8476D" w:rsidRDefault="00E8476D" w:rsidP="00E8476D">
      <w:pPr>
        <w:spacing w:line="400" w:lineRule="exact"/>
        <w:ind w:left="420"/>
        <w:rPr>
          <w:color w:val="4472C4"/>
        </w:rPr>
      </w:pPr>
      <w:r>
        <w:rPr>
          <w:rFonts w:ascii="宋体" w:hAnsi="宋体" w:hint="eastAsia"/>
          <w:color w:val="4472C4"/>
        </w:rPr>
        <w:t>间接投资是指投资者以其资本购买公司债券、金融债券或公司股票等，各种有价证券，以预期获取一定收益的投资，由于其投资形式主要是购买各种各样的有价证券，因此也被称为证券投资。与直接投资相比，间接投资的投资者除股票投资外，一般只享有定期获得一定收益的权利，而无权干预被投资对象对这部分投资的具体运用及其经营管理决策。</w:t>
      </w:r>
    </w:p>
    <w:p w:rsidR="00E8476D" w:rsidRDefault="00E8476D" w:rsidP="00E8476D">
      <w:pPr>
        <w:spacing w:line="400" w:lineRule="exact"/>
      </w:pPr>
      <w:r>
        <w:t>2.</w:t>
      </w:r>
      <w:r>
        <w:tab/>
      </w:r>
      <w:r>
        <w:rPr>
          <w:rFonts w:ascii="宋体" w:hAnsi="宋体" w:hint="eastAsia"/>
        </w:rPr>
        <w:t>封闭型基金</w:t>
      </w:r>
    </w:p>
    <w:p w:rsidR="00E8476D" w:rsidRDefault="00E8476D" w:rsidP="00E8476D">
      <w:pPr>
        <w:spacing w:line="400" w:lineRule="exact"/>
        <w:ind w:left="420"/>
        <w:rPr>
          <w:color w:val="4472C4"/>
        </w:rPr>
      </w:pPr>
      <w:r>
        <w:rPr>
          <w:rFonts w:ascii="宋体" w:hAnsi="宋体" w:hint="eastAsia"/>
          <w:color w:val="4472C4"/>
        </w:rPr>
        <w:t>封闭型基金是指在设立基金时，限定基金单位的发行总额，在初次发行达到预定的发行计划后，即宣告基金成立，并封闭起来，除非经特殊批准，基金单位将不再增加或减少。如果新的投资者想购买基金</w:t>
      </w:r>
      <w:proofErr w:type="gramStart"/>
      <w:r>
        <w:rPr>
          <w:rFonts w:ascii="宋体" w:hAnsi="宋体" w:hint="eastAsia"/>
          <w:color w:val="4472C4"/>
        </w:rPr>
        <w:t>券</w:t>
      </w:r>
      <w:proofErr w:type="gramEnd"/>
      <w:r>
        <w:rPr>
          <w:rFonts w:ascii="宋体" w:hAnsi="宋体" w:hint="eastAsia"/>
          <w:color w:val="4472C4"/>
        </w:rPr>
        <w:t>，只能向基金</w:t>
      </w:r>
      <w:proofErr w:type="gramStart"/>
      <w:r>
        <w:rPr>
          <w:rFonts w:ascii="宋体" w:hAnsi="宋体" w:hint="eastAsia"/>
          <w:color w:val="4472C4"/>
        </w:rPr>
        <w:t>券</w:t>
      </w:r>
      <w:proofErr w:type="gramEnd"/>
      <w:r>
        <w:rPr>
          <w:rFonts w:ascii="宋体" w:hAnsi="宋体" w:hint="eastAsia"/>
          <w:color w:val="4472C4"/>
        </w:rPr>
        <w:t>的持有者购买，而不能向基金公司购买</w:t>
      </w:r>
      <w:r>
        <w:rPr>
          <w:rFonts w:hint="eastAsia"/>
          <w:color w:val="4472C4"/>
        </w:rPr>
        <w:t xml:space="preserve">; </w:t>
      </w:r>
      <w:r>
        <w:rPr>
          <w:rFonts w:ascii="宋体" w:hAnsi="宋体" w:hint="eastAsia"/>
          <w:color w:val="4472C4"/>
        </w:rPr>
        <w:t>如果原来的投资者想把手中的受益凭证或股份变现，不能要求基金公司赎回，只能转让给第三者。</w:t>
      </w:r>
    </w:p>
    <w:p w:rsidR="00E8476D" w:rsidRDefault="00E8476D" w:rsidP="00E8476D">
      <w:pPr>
        <w:spacing w:line="400" w:lineRule="exact"/>
      </w:pPr>
      <w:r>
        <w:t>3.</w:t>
      </w:r>
      <w:r>
        <w:tab/>
      </w:r>
      <w:r>
        <w:rPr>
          <w:rFonts w:ascii="宋体" w:hAnsi="宋体" w:hint="eastAsia"/>
        </w:rPr>
        <w:t>投资与投机</w:t>
      </w:r>
    </w:p>
    <w:p w:rsidR="00E8476D" w:rsidRDefault="00E8476D" w:rsidP="00E8476D">
      <w:pPr>
        <w:spacing w:line="400" w:lineRule="exact"/>
        <w:ind w:left="420"/>
        <w:rPr>
          <w:color w:val="4472C4"/>
        </w:rPr>
      </w:pPr>
      <w:r>
        <w:rPr>
          <w:rFonts w:ascii="宋体" w:hAnsi="宋体" w:hint="eastAsia"/>
          <w:color w:val="4472C4"/>
        </w:rPr>
        <w:t>广义上看，证券市场上的个人或法人购买有价证券的行为通称为证券投资。一般我们认为，证券投资者会选择证券价值被低估或价格相对合适的阶段买入并持有，投资报酬以股利或债息等经常性收入为主，证券价格过高时抛出获得增值收入。投机相对投资而言，指完全不以取得股利和债息等经常性收入为目的，希望在买进和卖出之间，谋取证券价格差额利益的一种交易活动。所以投机也是证券交易的一种积极活动。</w:t>
      </w:r>
    </w:p>
    <w:p w:rsidR="00E8476D" w:rsidRDefault="00E8476D" w:rsidP="00E8476D">
      <w:pPr>
        <w:spacing w:line="400" w:lineRule="exact"/>
      </w:pPr>
      <w:r>
        <w:t>4.</w:t>
      </w:r>
      <w:r>
        <w:tab/>
      </w:r>
      <w:proofErr w:type="gramStart"/>
      <w:r>
        <w:rPr>
          <w:rFonts w:ascii="宋体" w:hAnsi="宋体" w:hint="eastAsia"/>
        </w:rPr>
        <w:t>帐面</w:t>
      </w:r>
      <w:proofErr w:type="gramEnd"/>
      <w:r>
        <w:rPr>
          <w:rFonts w:ascii="宋体" w:hAnsi="宋体" w:hint="eastAsia"/>
        </w:rPr>
        <w:t>价值</w:t>
      </w:r>
    </w:p>
    <w:p w:rsidR="00E8476D" w:rsidRDefault="00E8476D" w:rsidP="00E8476D">
      <w:pPr>
        <w:spacing w:line="400" w:lineRule="exact"/>
        <w:ind w:left="420"/>
        <w:rPr>
          <w:color w:val="4472C4"/>
        </w:rPr>
      </w:pPr>
      <w:r>
        <w:rPr>
          <w:rFonts w:ascii="宋体" w:hAnsi="宋体" w:hint="eastAsia"/>
          <w:color w:val="4472C4"/>
        </w:rPr>
        <w:lastRenderedPageBreak/>
        <w:t>账面价值（</w:t>
      </w:r>
      <w:r>
        <w:rPr>
          <w:rFonts w:hint="eastAsia"/>
          <w:color w:val="4472C4"/>
        </w:rPr>
        <w:t>carrying value</w:t>
      </w:r>
      <w:r>
        <w:rPr>
          <w:rFonts w:ascii="宋体" w:hAnsi="宋体" w:hint="eastAsia"/>
          <w:color w:val="4472C4"/>
        </w:rPr>
        <w:t>、</w:t>
      </w:r>
      <w:r>
        <w:rPr>
          <w:rFonts w:hint="eastAsia"/>
          <w:color w:val="4472C4"/>
        </w:rPr>
        <w:t>book value</w:t>
      </w:r>
      <w:r>
        <w:rPr>
          <w:rFonts w:ascii="宋体" w:hAnsi="宋体" w:hint="eastAsia"/>
          <w:color w:val="4472C4"/>
        </w:rPr>
        <w:t>）是指按照会计核算的原理和方法反映计量的企业价值。《国际评估准则》指出，企业的账面价值</w:t>
      </w:r>
      <w:r>
        <w:rPr>
          <w:rFonts w:hint="eastAsia"/>
          <w:color w:val="4472C4"/>
        </w:rPr>
        <w:t>,</w:t>
      </w:r>
      <w:r>
        <w:rPr>
          <w:rFonts w:ascii="宋体" w:hAnsi="宋体" w:hint="eastAsia"/>
          <w:color w:val="4472C4"/>
        </w:rPr>
        <w:t>是企业资产负债表上体现的企业全部资产</w:t>
      </w:r>
      <w:r>
        <w:rPr>
          <w:rFonts w:hint="eastAsia"/>
          <w:color w:val="4472C4"/>
        </w:rPr>
        <w:t>(</w:t>
      </w:r>
      <w:r>
        <w:rPr>
          <w:rFonts w:ascii="宋体" w:hAnsi="宋体" w:hint="eastAsia"/>
          <w:color w:val="4472C4"/>
        </w:rPr>
        <w:t>扣除折旧、损耗和摊销</w:t>
      </w:r>
      <w:r>
        <w:rPr>
          <w:rFonts w:hint="eastAsia"/>
          <w:color w:val="4472C4"/>
        </w:rPr>
        <w:t>)</w:t>
      </w:r>
      <w:r>
        <w:rPr>
          <w:rFonts w:ascii="宋体" w:hAnsi="宋体" w:hint="eastAsia"/>
          <w:color w:val="4472C4"/>
        </w:rPr>
        <w:t>与企业全部负债之间的差额，与账面资产、净值和股东权益是同义的。账面价值是指账户的账面余额减去相关</w:t>
      </w:r>
      <w:proofErr w:type="gramStart"/>
      <w:r>
        <w:rPr>
          <w:rFonts w:ascii="宋体" w:hAnsi="宋体" w:hint="eastAsia"/>
          <w:color w:val="4472C4"/>
        </w:rPr>
        <w:t>备抵项目</w:t>
      </w:r>
      <w:proofErr w:type="gramEnd"/>
      <w:r>
        <w:rPr>
          <w:rFonts w:ascii="宋体" w:hAnsi="宋体" w:hint="eastAsia"/>
          <w:color w:val="4472C4"/>
        </w:rPr>
        <w:t>后的净额，即固定资产、无形资产的账面余额与其累计折旧、累计摊销的差额。</w:t>
      </w:r>
    </w:p>
    <w:p w:rsidR="00E8476D" w:rsidRDefault="00E8476D" w:rsidP="00E8476D">
      <w:pPr>
        <w:spacing w:line="400" w:lineRule="exact"/>
      </w:pPr>
      <w:r>
        <w:t>5.</w:t>
      </w:r>
      <w:r>
        <w:tab/>
      </w:r>
      <w:r>
        <w:rPr>
          <w:rFonts w:ascii="宋体" w:hAnsi="宋体" w:hint="eastAsia"/>
        </w:rPr>
        <w:t>有效边界</w:t>
      </w:r>
    </w:p>
    <w:p w:rsidR="00E8476D" w:rsidRDefault="00E8476D" w:rsidP="00E8476D">
      <w:pPr>
        <w:spacing w:line="400" w:lineRule="exact"/>
        <w:ind w:left="420"/>
        <w:rPr>
          <w:color w:val="4472C4"/>
        </w:rPr>
      </w:pPr>
      <w:r>
        <w:rPr>
          <w:rFonts w:ascii="宋体" w:hAnsi="宋体" w:hint="eastAsia"/>
          <w:color w:val="4472C4"/>
        </w:rPr>
        <w:t>有效边界是在收益</w:t>
      </w:r>
      <w:proofErr w:type="gramStart"/>
      <w:r>
        <w:rPr>
          <w:rFonts w:hint="eastAsia"/>
          <w:color w:val="4472C4"/>
        </w:rPr>
        <w:t>—风险</w:t>
      </w:r>
      <w:proofErr w:type="gramEnd"/>
      <w:r>
        <w:rPr>
          <w:rFonts w:hint="eastAsia"/>
          <w:color w:val="4472C4"/>
        </w:rPr>
        <w:t>约束条件下能够以最小的风险取得最大的收益的各种证券的集合。在有效证券组合可行域的上边缘部</w:t>
      </w:r>
      <w:proofErr w:type="gramStart"/>
      <w:r>
        <w:rPr>
          <w:rFonts w:hint="eastAsia"/>
          <w:color w:val="4472C4"/>
        </w:rPr>
        <w:t>分称为</w:t>
      </w:r>
      <w:proofErr w:type="gramEnd"/>
      <w:r>
        <w:rPr>
          <w:rFonts w:hint="eastAsia"/>
          <w:color w:val="4472C4"/>
        </w:rPr>
        <w:t>有效边界。</w:t>
      </w:r>
      <w:r>
        <w:rPr>
          <w:rFonts w:hint="eastAsia"/>
          <w:color w:val="4472C4"/>
        </w:rPr>
        <w:t xml:space="preserve"> </w:t>
      </w:r>
      <w:r>
        <w:rPr>
          <w:rFonts w:hint="eastAsia"/>
          <w:color w:val="4472C4"/>
        </w:rPr>
        <w:t>有效边界一定是向外凸的。也称“马科维兹边界”。在它左方的投资组合是不可能的，而位于它右方的投资组合是没有效率的。因为在有效边界上的投资组合较其</w:t>
      </w:r>
      <w:proofErr w:type="gramStart"/>
      <w:r>
        <w:rPr>
          <w:rFonts w:hint="eastAsia"/>
          <w:color w:val="4472C4"/>
        </w:rPr>
        <w:t>右方与</w:t>
      </w:r>
      <w:proofErr w:type="gramEnd"/>
      <w:r>
        <w:rPr>
          <w:rFonts w:hint="eastAsia"/>
          <w:color w:val="4472C4"/>
        </w:rPr>
        <w:t>之风险相同的投资组合有较高的收益率，而较其</w:t>
      </w:r>
      <w:proofErr w:type="gramStart"/>
      <w:r>
        <w:rPr>
          <w:rFonts w:hint="eastAsia"/>
          <w:color w:val="4472C4"/>
        </w:rPr>
        <w:t>左方与</w:t>
      </w:r>
      <w:proofErr w:type="gramEnd"/>
      <w:r>
        <w:rPr>
          <w:rFonts w:hint="eastAsia"/>
          <w:color w:val="4472C4"/>
        </w:rPr>
        <w:t>之收益相同的投资组合有较低的风险。</w:t>
      </w:r>
    </w:p>
    <w:p w:rsidR="00E8476D" w:rsidRDefault="00E8476D" w:rsidP="00E8476D">
      <w:pPr>
        <w:spacing w:line="400" w:lineRule="exact"/>
        <w:rPr>
          <w:rFonts w:ascii="黑体" w:eastAsia="黑体" w:hint="eastAsia"/>
          <w:b/>
          <w:bCs/>
          <w:sz w:val="24"/>
          <w:szCs w:val="24"/>
        </w:rPr>
      </w:pPr>
      <w:r>
        <w:rPr>
          <w:rFonts w:ascii="黑体" w:eastAsia="黑体" w:hint="eastAsia"/>
          <w:b/>
          <w:bCs/>
          <w:sz w:val="24"/>
          <w:szCs w:val="24"/>
        </w:rPr>
        <w:t>三、问答题</w:t>
      </w:r>
    </w:p>
    <w:p w:rsidR="00E8476D" w:rsidRDefault="00E8476D" w:rsidP="00E8476D">
      <w:pPr>
        <w:rPr>
          <w:rFonts w:hint="eastAsia"/>
        </w:rPr>
      </w:pPr>
      <w:r>
        <w:t>1.</w:t>
      </w:r>
      <w:r>
        <w:tab/>
      </w:r>
      <w:r>
        <w:rPr>
          <w:rFonts w:ascii="宋体" w:hAnsi="宋体" w:hint="eastAsia"/>
        </w:rPr>
        <w:t>为什么投资者制定投资目标时，需要同时考虑收益和风险的影响？</w:t>
      </w:r>
    </w:p>
    <w:p w:rsidR="00E8476D" w:rsidRDefault="00E8476D" w:rsidP="00E8476D">
      <w:pPr>
        <w:ind w:left="420"/>
        <w:rPr>
          <w:color w:val="4472C4"/>
        </w:rPr>
      </w:pPr>
      <w:r>
        <w:rPr>
          <w:rFonts w:ascii="宋体" w:hAnsi="宋体" w:hint="eastAsia"/>
          <w:color w:val="4472C4"/>
        </w:rPr>
        <w:t>答题要点：</w:t>
      </w:r>
    </w:p>
    <w:p w:rsidR="00E8476D" w:rsidRDefault="00E8476D" w:rsidP="00E8476D">
      <w:pPr>
        <w:ind w:left="420" w:hangingChars="200" w:hanging="420"/>
        <w:rPr>
          <w:color w:val="4472C4"/>
        </w:rPr>
      </w:pPr>
      <w:r>
        <w:rPr>
          <w:color w:val="4472C4"/>
        </w:rPr>
        <w:tab/>
      </w:r>
      <w:r>
        <w:rPr>
          <w:rFonts w:ascii="宋体" w:hAnsi="宋体" w:hint="eastAsia"/>
          <w:color w:val="4472C4"/>
        </w:rPr>
        <w:t>厌恶风险是理性投资者决策前提。理想状态下，投资者会选择风险小收益高的资产进行投资。但是，证券投资必要承担一定的风险，甚至发生损失。因此需要将风险控制在一定限度内，这是投资的一个重要因素。也就是说，投资获利的主要约束是使风险最小化，这被称为避险心理。若投资者面前有两种证券可以选择，其预期收益相同，但风险有别。理性投资者会选择风险较小的资产进行投资。倘若风险相同，预期收益有别，则会选择预期收益最大的资产进行投资。因此，理性投资者的目标是在风险和收益之间进行权衡。</w:t>
      </w:r>
    </w:p>
    <w:p w:rsidR="00E8476D" w:rsidRDefault="00E8476D" w:rsidP="00E8476D">
      <w:r>
        <w:t xml:space="preserve"> </w:t>
      </w:r>
    </w:p>
    <w:p w:rsidR="00E8476D" w:rsidRDefault="00E8476D" w:rsidP="00E8476D">
      <w:r>
        <w:t>2.</w:t>
      </w:r>
      <w:r>
        <w:tab/>
      </w:r>
      <w:r>
        <w:rPr>
          <w:rFonts w:ascii="宋体" w:hAnsi="宋体" w:hint="eastAsia"/>
        </w:rPr>
        <w:t>证券监管的基本原则是什么？证券监管模式有哪几种？监管内容有哪些？</w:t>
      </w:r>
    </w:p>
    <w:p w:rsidR="00E8476D" w:rsidRDefault="00E8476D" w:rsidP="00E8476D">
      <w:pPr>
        <w:ind w:left="420"/>
        <w:rPr>
          <w:color w:val="4472C4"/>
        </w:rPr>
      </w:pPr>
      <w:r>
        <w:rPr>
          <w:rFonts w:ascii="宋体" w:hAnsi="宋体" w:hint="eastAsia"/>
          <w:color w:val="4472C4"/>
        </w:rPr>
        <w:t>答题要点：</w:t>
      </w:r>
    </w:p>
    <w:p w:rsidR="00E8476D" w:rsidRDefault="00E8476D" w:rsidP="00E8476D">
      <w:pPr>
        <w:ind w:left="420"/>
        <w:rPr>
          <w:color w:val="4472C4"/>
        </w:rPr>
      </w:pPr>
      <w:r>
        <w:rPr>
          <w:rFonts w:ascii="宋体" w:hAnsi="宋体" w:hint="eastAsia"/>
          <w:color w:val="4472C4"/>
        </w:rPr>
        <w:t>基本原则：公开原则、公平原则、公正原则</w:t>
      </w:r>
    </w:p>
    <w:p w:rsidR="00E8476D" w:rsidRDefault="00E8476D" w:rsidP="00E8476D">
      <w:pPr>
        <w:ind w:left="420"/>
        <w:rPr>
          <w:color w:val="4472C4"/>
        </w:rPr>
      </w:pPr>
      <w:r>
        <w:rPr>
          <w:rFonts w:ascii="宋体" w:hAnsi="宋体" w:hint="eastAsia"/>
          <w:color w:val="4472C4"/>
        </w:rPr>
        <w:t>监管模式：美国模式，国家立法设定独立国家证券监管机构，统一管理，自律性组织只起到协助作用。日本模式，由政府部门负责证券市场监管，下设专门机构执行监管任务，自律性组织起协助作用。英国模式，以自律管理为主，辅以政府有关职能部门的参与和管理。</w:t>
      </w:r>
    </w:p>
    <w:p w:rsidR="00E8476D" w:rsidRDefault="00E8476D" w:rsidP="00E8476D">
      <w:pPr>
        <w:ind w:left="420"/>
        <w:rPr>
          <w:color w:val="4472C4"/>
        </w:rPr>
      </w:pPr>
      <w:r>
        <w:rPr>
          <w:rFonts w:ascii="宋体" w:hAnsi="宋体" w:hint="eastAsia"/>
          <w:color w:val="4472C4"/>
        </w:rPr>
        <w:t>监管的主要内容：证券发行审核制度，证券发行信息披露制度</w:t>
      </w:r>
    </w:p>
    <w:p w:rsidR="00E8476D" w:rsidRDefault="00E8476D" w:rsidP="00E8476D">
      <w:r>
        <w:t xml:space="preserve"> </w:t>
      </w:r>
    </w:p>
    <w:p w:rsidR="00E8476D" w:rsidRDefault="00E8476D" w:rsidP="00E8476D">
      <w:r>
        <w:t xml:space="preserve"> </w:t>
      </w:r>
    </w:p>
    <w:p w:rsidR="00E8476D" w:rsidRDefault="00E8476D" w:rsidP="00E8476D">
      <w:r>
        <w:t>3.</w:t>
      </w:r>
      <w:r>
        <w:tab/>
      </w:r>
      <w:proofErr w:type="gramStart"/>
      <w:r>
        <w:rPr>
          <w:rFonts w:ascii="宋体" w:hAnsi="宋体" w:hint="eastAsia"/>
        </w:rPr>
        <w:t>市净率</w:t>
      </w:r>
      <w:proofErr w:type="gramEnd"/>
      <w:r>
        <w:rPr>
          <w:rFonts w:ascii="宋体" w:hAnsi="宋体" w:hint="eastAsia"/>
        </w:rPr>
        <w:t>估值模型的优点和局限性是什么？</w:t>
      </w:r>
    </w:p>
    <w:p w:rsidR="00E8476D" w:rsidRDefault="00E8476D" w:rsidP="00E8476D">
      <w:pPr>
        <w:ind w:left="420"/>
        <w:rPr>
          <w:color w:val="4472C4"/>
        </w:rPr>
      </w:pPr>
      <w:r>
        <w:rPr>
          <w:rFonts w:ascii="宋体" w:hAnsi="宋体" w:hint="eastAsia"/>
          <w:color w:val="4472C4"/>
        </w:rPr>
        <w:t>答题要点：</w:t>
      </w:r>
    </w:p>
    <w:p w:rsidR="00E8476D" w:rsidRDefault="00E8476D" w:rsidP="00E8476D">
      <w:pPr>
        <w:ind w:left="420" w:hangingChars="200" w:hanging="420"/>
        <w:rPr>
          <w:color w:val="4472C4"/>
        </w:rPr>
      </w:pPr>
      <w:r>
        <w:rPr>
          <w:color w:val="4472C4"/>
        </w:rPr>
        <w:tab/>
      </w:r>
      <w:r>
        <w:rPr>
          <w:rFonts w:ascii="宋体" w:hAnsi="宋体" w:hint="eastAsia"/>
          <w:color w:val="4472C4"/>
        </w:rPr>
        <w:t>优点：净利为负的公司不能用市盈率进行估值，而</w:t>
      </w:r>
      <w:proofErr w:type="gramStart"/>
      <w:r>
        <w:rPr>
          <w:rFonts w:ascii="宋体" w:hAnsi="宋体" w:hint="eastAsia"/>
          <w:color w:val="4472C4"/>
        </w:rPr>
        <w:t>市净率</w:t>
      </w:r>
      <w:proofErr w:type="gramEnd"/>
      <w:r>
        <w:rPr>
          <w:rFonts w:ascii="宋体" w:hAnsi="宋体" w:hint="eastAsia"/>
          <w:color w:val="4472C4"/>
        </w:rPr>
        <w:t>极少为负值，可用于大多数公司。其次，净资产</w:t>
      </w:r>
      <w:proofErr w:type="gramStart"/>
      <w:r>
        <w:rPr>
          <w:rFonts w:ascii="宋体" w:hAnsi="宋体" w:hint="eastAsia"/>
          <w:color w:val="4472C4"/>
        </w:rPr>
        <w:t>帐面</w:t>
      </w:r>
      <w:proofErr w:type="gramEnd"/>
      <w:r>
        <w:rPr>
          <w:rFonts w:ascii="宋体" w:hAnsi="宋体" w:hint="eastAsia"/>
          <w:color w:val="4472C4"/>
        </w:rPr>
        <w:t>价值数据容易获取，并且容易理解，再次，净资产账面</w:t>
      </w:r>
      <w:proofErr w:type="gramStart"/>
      <w:r>
        <w:rPr>
          <w:rFonts w:ascii="宋体" w:hAnsi="宋体" w:hint="eastAsia"/>
          <w:color w:val="4472C4"/>
        </w:rPr>
        <w:t>价值比净利润</w:t>
      </w:r>
      <w:proofErr w:type="gramEnd"/>
      <w:r>
        <w:rPr>
          <w:rFonts w:ascii="宋体" w:hAnsi="宋体" w:hint="eastAsia"/>
          <w:color w:val="4472C4"/>
        </w:rPr>
        <w:t>稳定，也较少被操纵，最后如果各公司会计政策一致，</w:t>
      </w:r>
      <w:proofErr w:type="gramStart"/>
      <w:r>
        <w:rPr>
          <w:rFonts w:ascii="宋体" w:hAnsi="宋体" w:hint="eastAsia"/>
          <w:color w:val="4472C4"/>
        </w:rPr>
        <w:t>市净率</w:t>
      </w:r>
      <w:proofErr w:type="gramEnd"/>
      <w:r>
        <w:rPr>
          <w:rFonts w:ascii="宋体" w:hAnsi="宋体" w:hint="eastAsia"/>
          <w:color w:val="4472C4"/>
        </w:rPr>
        <w:t>变化可反映公司估值变化。</w:t>
      </w:r>
    </w:p>
    <w:p w:rsidR="00E8476D" w:rsidRDefault="00E8476D" w:rsidP="00E8476D">
      <w:pPr>
        <w:ind w:left="420"/>
        <w:rPr>
          <w:color w:val="4472C4"/>
        </w:rPr>
      </w:pPr>
      <w:r>
        <w:rPr>
          <w:rFonts w:ascii="宋体" w:hAnsi="宋体" w:hint="eastAsia"/>
          <w:color w:val="4472C4"/>
        </w:rPr>
        <w:t>缺点：</w:t>
      </w:r>
      <w:proofErr w:type="gramStart"/>
      <w:r>
        <w:rPr>
          <w:rFonts w:ascii="宋体" w:hAnsi="宋体" w:hint="eastAsia"/>
          <w:color w:val="4472C4"/>
        </w:rPr>
        <w:t>帐面</w:t>
      </w:r>
      <w:proofErr w:type="gramEnd"/>
      <w:r>
        <w:rPr>
          <w:rFonts w:ascii="宋体" w:hAnsi="宋体" w:hint="eastAsia"/>
          <w:color w:val="4472C4"/>
        </w:rPr>
        <w:t>价值会受到会计政策选择的影响，其次固定资产很少的服务性公司和高科技公司，净资产与公司的关系不大，</w:t>
      </w:r>
      <w:proofErr w:type="gramStart"/>
      <w:r>
        <w:rPr>
          <w:rFonts w:ascii="宋体" w:hAnsi="宋体" w:hint="eastAsia"/>
          <w:color w:val="4472C4"/>
        </w:rPr>
        <w:t>市净率</w:t>
      </w:r>
      <w:proofErr w:type="gramEnd"/>
      <w:r>
        <w:rPr>
          <w:rFonts w:ascii="宋体" w:hAnsi="宋体" w:hint="eastAsia"/>
          <w:color w:val="4472C4"/>
        </w:rPr>
        <w:t>没有什么实际意义，最少少数公司的净资产为负值，</w:t>
      </w:r>
      <w:proofErr w:type="gramStart"/>
      <w:r>
        <w:rPr>
          <w:rFonts w:ascii="宋体" w:hAnsi="宋体" w:hint="eastAsia"/>
          <w:color w:val="4472C4"/>
        </w:rPr>
        <w:t>市净率失去</w:t>
      </w:r>
      <w:proofErr w:type="gramEnd"/>
      <w:r>
        <w:rPr>
          <w:rFonts w:ascii="宋体" w:hAnsi="宋体" w:hint="eastAsia"/>
          <w:color w:val="4472C4"/>
        </w:rPr>
        <w:t>意义，无法用于比较。</w:t>
      </w:r>
    </w:p>
    <w:p w:rsidR="00E8476D" w:rsidRDefault="00E8476D" w:rsidP="00E8476D">
      <w:pPr>
        <w:spacing w:line="400" w:lineRule="exact"/>
        <w:rPr>
          <w:rFonts w:ascii="黑体" w:eastAsia="黑体"/>
          <w:b/>
          <w:bCs/>
          <w:sz w:val="24"/>
          <w:szCs w:val="24"/>
        </w:rPr>
      </w:pPr>
      <w:r>
        <w:rPr>
          <w:rFonts w:ascii="黑体" w:eastAsia="黑体" w:hint="eastAsia"/>
          <w:b/>
          <w:bCs/>
          <w:sz w:val="24"/>
          <w:szCs w:val="24"/>
        </w:rPr>
        <w:t xml:space="preserve"> </w:t>
      </w:r>
    </w:p>
    <w:p w:rsidR="00E8476D" w:rsidRDefault="00E8476D" w:rsidP="00E8476D">
      <w:pPr>
        <w:spacing w:line="400" w:lineRule="exact"/>
        <w:rPr>
          <w:rFonts w:ascii="黑体" w:eastAsia="黑体" w:hint="eastAsia"/>
          <w:b/>
          <w:bCs/>
          <w:sz w:val="24"/>
          <w:szCs w:val="24"/>
        </w:rPr>
      </w:pPr>
      <w:r>
        <w:rPr>
          <w:rFonts w:ascii="黑体" w:eastAsia="黑体" w:hint="eastAsia"/>
          <w:b/>
          <w:bCs/>
          <w:sz w:val="24"/>
          <w:szCs w:val="24"/>
        </w:rPr>
        <w:lastRenderedPageBreak/>
        <w:t>四、计算题</w:t>
      </w:r>
    </w:p>
    <w:p w:rsidR="00E8476D" w:rsidRDefault="00E8476D" w:rsidP="00E8476D">
      <w:pPr>
        <w:ind w:left="420" w:hangingChars="200" w:hanging="420"/>
        <w:rPr>
          <w:rFonts w:hint="eastAsia"/>
        </w:rPr>
      </w:pPr>
      <w:r>
        <w:t>1.</w:t>
      </w:r>
      <w:r>
        <w:tab/>
      </w:r>
      <w:r>
        <w:rPr>
          <w:rFonts w:ascii="宋体" w:hAnsi="宋体" w:hint="eastAsia"/>
        </w:rPr>
        <w:t>投资者</w:t>
      </w:r>
      <w:r>
        <w:rPr>
          <w:rFonts w:hint="eastAsia"/>
        </w:rPr>
        <w:t>2</w:t>
      </w:r>
      <w:r>
        <w:t>01</w:t>
      </w:r>
      <w:r>
        <w:rPr>
          <w:rFonts w:hint="eastAsia"/>
        </w:rPr>
        <w:t>9</w:t>
      </w:r>
      <w:r>
        <w:rPr>
          <w:rFonts w:ascii="宋体" w:hAnsi="宋体" w:hint="eastAsia"/>
        </w:rPr>
        <w:t>年</w:t>
      </w:r>
      <w:r>
        <w:rPr>
          <w:rFonts w:hint="eastAsia"/>
        </w:rPr>
        <w:t>2</w:t>
      </w:r>
      <w:r>
        <w:rPr>
          <w:rFonts w:ascii="宋体" w:hAnsi="宋体" w:hint="eastAsia"/>
        </w:rPr>
        <w:t>月</w:t>
      </w:r>
      <w:r>
        <w:rPr>
          <w:rFonts w:hint="eastAsia"/>
        </w:rPr>
        <w:t>2</w:t>
      </w:r>
      <w:r>
        <w:t>5</w:t>
      </w:r>
      <w:r>
        <w:rPr>
          <w:rFonts w:ascii="宋体" w:hAnsi="宋体" w:hint="eastAsia"/>
        </w:rPr>
        <w:t>日以</w:t>
      </w:r>
      <w:r>
        <w:t>30</w:t>
      </w:r>
      <w:r>
        <w:rPr>
          <w:rFonts w:ascii="宋体" w:hAnsi="宋体" w:hint="eastAsia"/>
        </w:rPr>
        <w:t>元价格买入</w:t>
      </w:r>
      <w:r>
        <w:rPr>
          <w:rFonts w:hint="eastAsia"/>
        </w:rPr>
        <w:t>1</w:t>
      </w:r>
      <w:r>
        <w:t>000</w:t>
      </w:r>
      <w:proofErr w:type="gramStart"/>
      <w:r>
        <w:rPr>
          <w:rFonts w:ascii="宋体" w:hAnsi="宋体" w:hint="eastAsia"/>
        </w:rPr>
        <w:t>股</w:t>
      </w:r>
      <w:proofErr w:type="gramEnd"/>
      <w:r>
        <w:rPr>
          <w:rFonts w:ascii="宋体" w:hAnsi="宋体" w:hint="eastAsia"/>
        </w:rPr>
        <w:t>股票</w:t>
      </w:r>
      <w:r>
        <w:rPr>
          <w:rFonts w:hint="eastAsia"/>
        </w:rPr>
        <w:t>XYZ</w:t>
      </w:r>
      <w:r>
        <w:rPr>
          <w:rFonts w:ascii="宋体" w:hAnsi="宋体" w:hint="eastAsia"/>
        </w:rPr>
        <w:t>，该股已公布分配方案为每</w:t>
      </w:r>
      <w:r>
        <w:rPr>
          <w:rFonts w:hint="eastAsia"/>
        </w:rPr>
        <w:t>1</w:t>
      </w:r>
      <w:r>
        <w:t>0</w:t>
      </w:r>
      <w:r>
        <w:rPr>
          <w:rFonts w:ascii="宋体" w:hAnsi="宋体" w:hint="eastAsia"/>
        </w:rPr>
        <w:t>股送</w:t>
      </w:r>
      <w:r>
        <w:rPr>
          <w:rFonts w:hint="eastAsia"/>
        </w:rPr>
        <w:t>10</w:t>
      </w:r>
      <w:r>
        <w:rPr>
          <w:rFonts w:ascii="宋体" w:hAnsi="宋体" w:hint="eastAsia"/>
        </w:rPr>
        <w:t>股并派息</w:t>
      </w:r>
      <w:r>
        <w:rPr>
          <w:rFonts w:hint="eastAsia"/>
        </w:rPr>
        <w:t>3</w:t>
      </w:r>
      <w:r>
        <w:rPr>
          <w:rFonts w:ascii="宋体" w:hAnsi="宋体" w:hint="eastAsia"/>
        </w:rPr>
        <w:t>元。该股票</w:t>
      </w:r>
      <w:r>
        <w:rPr>
          <w:rFonts w:hint="eastAsia"/>
        </w:rPr>
        <w:t>4</w:t>
      </w:r>
      <w:r>
        <w:rPr>
          <w:rFonts w:ascii="宋体" w:hAnsi="宋体" w:hint="eastAsia"/>
        </w:rPr>
        <w:t>月</w:t>
      </w:r>
      <w:r>
        <w:rPr>
          <w:rFonts w:hint="eastAsia"/>
        </w:rPr>
        <w:t>2</w:t>
      </w:r>
      <w:r>
        <w:t>0</w:t>
      </w:r>
      <w:r>
        <w:rPr>
          <w:rFonts w:ascii="宋体" w:hAnsi="宋体" w:hint="eastAsia"/>
        </w:rPr>
        <w:t>日派息，该投资者参与全部股利分配，并于</w:t>
      </w:r>
      <w:r>
        <w:rPr>
          <w:rFonts w:hint="eastAsia"/>
        </w:rPr>
        <w:t>4</w:t>
      </w:r>
      <w:r>
        <w:rPr>
          <w:rFonts w:ascii="宋体" w:hAnsi="宋体" w:hint="eastAsia"/>
        </w:rPr>
        <w:t>月</w:t>
      </w:r>
      <w:r>
        <w:t>30</w:t>
      </w:r>
      <w:r>
        <w:rPr>
          <w:rFonts w:ascii="宋体" w:hAnsi="宋体" w:hint="eastAsia"/>
        </w:rPr>
        <w:t>日以每股</w:t>
      </w:r>
      <w:r>
        <w:t>20</w:t>
      </w:r>
      <w:r>
        <w:rPr>
          <w:rFonts w:ascii="宋体" w:hAnsi="宋体" w:hint="eastAsia"/>
        </w:rPr>
        <w:t>元价格卖出股票。若不计交易成本，该投资者此次投资的持有期收益率是多少？</w:t>
      </w:r>
    </w:p>
    <w:p w:rsidR="00E8476D" w:rsidRDefault="00E8476D" w:rsidP="00E8476D">
      <w:pPr>
        <w:ind w:left="420"/>
      </w:pPr>
      <w:r>
        <w:rPr>
          <w:rFonts w:ascii="宋体" w:hAnsi="宋体" w:hint="eastAsia"/>
        </w:rPr>
        <w:t>答题要点：</w:t>
      </w:r>
    </w:p>
    <w:p w:rsidR="00E8476D" w:rsidRDefault="00E8476D" w:rsidP="00E8476D">
      <w:pPr>
        <w:ind w:left="420"/>
      </w:pPr>
      <w:r>
        <w:rPr>
          <w:noProof/>
        </w:rPr>
        <w:drawing>
          <wp:inline distT="0" distB="0" distL="0" distR="0">
            <wp:extent cx="3514725" cy="914400"/>
            <wp:effectExtent l="19050" t="0" r="9525" b="0"/>
            <wp:docPr id="2" name="图片 2" descr="C:\DOCUME~1\user\LOCALS~1\Temp\ksohtml1804\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1804\wps2.png"/>
                    <pic:cNvPicPr>
                      <a:picLocks noChangeAspect="1" noChangeArrowheads="1"/>
                    </pic:cNvPicPr>
                  </pic:nvPicPr>
                  <pic:blipFill>
                    <a:blip r:embed="rId4" cstate="print"/>
                    <a:srcRect/>
                    <a:stretch>
                      <a:fillRect/>
                    </a:stretch>
                  </pic:blipFill>
                  <pic:spPr bwMode="auto">
                    <a:xfrm>
                      <a:off x="0" y="0"/>
                      <a:ext cx="3514725" cy="914400"/>
                    </a:xfrm>
                    <a:prstGeom prst="rect">
                      <a:avLst/>
                    </a:prstGeom>
                    <a:noFill/>
                    <a:ln w="9525">
                      <a:noFill/>
                      <a:miter lim="800000"/>
                      <a:headEnd/>
                      <a:tailEnd/>
                    </a:ln>
                  </pic:spPr>
                </pic:pic>
              </a:graphicData>
            </a:graphic>
          </wp:inline>
        </w:drawing>
      </w:r>
    </w:p>
    <w:p w:rsidR="00E8476D" w:rsidRDefault="00E8476D" w:rsidP="00E8476D">
      <w:pPr>
        <w:ind w:left="420" w:hangingChars="200" w:hanging="420"/>
      </w:pPr>
      <w:r>
        <w:t>2.</w:t>
      </w:r>
      <w:r>
        <w:tab/>
      </w:r>
      <w:r>
        <w:rPr>
          <w:rFonts w:ascii="宋体" w:hAnsi="宋体" w:hint="eastAsia"/>
        </w:rPr>
        <w:t>某债券的面值为</w:t>
      </w:r>
      <w:r>
        <w:rPr>
          <w:rFonts w:hint="eastAsia"/>
        </w:rPr>
        <w:t>1</w:t>
      </w:r>
      <w:r>
        <w:t>00</w:t>
      </w:r>
      <w:r>
        <w:rPr>
          <w:rFonts w:ascii="宋体" w:hAnsi="宋体" w:hint="eastAsia"/>
        </w:rPr>
        <w:t>元，到期期限为</w:t>
      </w:r>
      <w:r>
        <w:rPr>
          <w:rFonts w:hint="eastAsia"/>
        </w:rPr>
        <w:t>6</w:t>
      </w:r>
      <w:r>
        <w:rPr>
          <w:rFonts w:ascii="宋体" w:hAnsi="宋体" w:hint="eastAsia"/>
        </w:rPr>
        <w:t>年，息票率为</w:t>
      </w:r>
      <w:r>
        <w:rPr>
          <w:rFonts w:hint="eastAsia"/>
        </w:rPr>
        <w:t>7%</w:t>
      </w:r>
      <w:r>
        <w:rPr>
          <w:rFonts w:ascii="宋体" w:hAnsi="宋体" w:hint="eastAsia"/>
        </w:rPr>
        <w:t>，按年支付利息。该债券按面值出售，试计算该债券的久期。</w:t>
      </w:r>
    </w:p>
    <w:p w:rsidR="00E8476D" w:rsidRDefault="00E8476D" w:rsidP="00E8476D">
      <w:pPr>
        <w:ind w:left="420" w:hangingChars="200" w:hanging="420"/>
      </w:pPr>
      <w:r>
        <w:tab/>
      </w:r>
      <w:r>
        <w:rPr>
          <w:rFonts w:ascii="宋体" w:hAnsi="宋体" w:hint="eastAsia"/>
        </w:rPr>
        <w:t>答题要点：</w:t>
      </w:r>
    </w:p>
    <w:p w:rsidR="00E8476D" w:rsidRDefault="00E8476D" w:rsidP="00E8476D">
      <w:pPr>
        <w:ind w:left="420" w:hangingChars="200" w:hanging="420"/>
      </w:pPr>
      <w:r>
        <w:tab/>
      </w:r>
      <w:r>
        <w:rPr>
          <w:noProof/>
        </w:rPr>
        <w:drawing>
          <wp:inline distT="0" distB="0" distL="0" distR="0">
            <wp:extent cx="4333875" cy="1066800"/>
            <wp:effectExtent l="19050" t="0" r="0" b="0"/>
            <wp:docPr id="3" name="图片 3" descr="C:\DOCUME~1\user\LOCALS~1\Temp\ksohtml1804\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1804\wps3.png"/>
                    <pic:cNvPicPr>
                      <a:picLocks noChangeAspect="1" noChangeArrowheads="1"/>
                    </pic:cNvPicPr>
                  </pic:nvPicPr>
                  <pic:blipFill>
                    <a:blip r:embed="rId5" cstate="print"/>
                    <a:srcRect/>
                    <a:stretch>
                      <a:fillRect/>
                    </a:stretch>
                  </pic:blipFill>
                  <pic:spPr bwMode="auto">
                    <a:xfrm>
                      <a:off x="0" y="0"/>
                      <a:ext cx="4333875" cy="1066800"/>
                    </a:xfrm>
                    <a:prstGeom prst="rect">
                      <a:avLst/>
                    </a:prstGeom>
                    <a:noFill/>
                    <a:ln w="9525">
                      <a:noFill/>
                      <a:miter lim="800000"/>
                      <a:headEnd/>
                      <a:tailEnd/>
                    </a:ln>
                  </pic:spPr>
                </pic:pic>
              </a:graphicData>
            </a:graphic>
          </wp:inline>
        </w:drawing>
      </w:r>
    </w:p>
    <w:p w:rsidR="00E8476D" w:rsidRDefault="00E8476D" w:rsidP="00E8476D">
      <w:pPr>
        <w:ind w:left="420" w:hangingChars="200" w:hanging="420"/>
      </w:pPr>
      <w:r>
        <w:t>3.</w:t>
      </w:r>
      <w:r>
        <w:tab/>
      </w:r>
      <w:r>
        <w:rPr>
          <w:rFonts w:ascii="宋体" w:hAnsi="宋体" w:hint="eastAsia"/>
        </w:rPr>
        <w:t>某投资组合</w:t>
      </w:r>
      <w:r>
        <w:rPr>
          <w:rFonts w:hint="eastAsia"/>
        </w:rPr>
        <w:t>M</w:t>
      </w:r>
      <w:r>
        <w:rPr>
          <w:rFonts w:ascii="宋体" w:hAnsi="宋体" w:hint="eastAsia"/>
        </w:rPr>
        <w:t>由一个风险证券组合</w:t>
      </w:r>
      <w:r>
        <w:rPr>
          <w:rFonts w:hint="eastAsia"/>
        </w:rPr>
        <w:t>P</w:t>
      </w:r>
      <w:r>
        <w:rPr>
          <w:rFonts w:ascii="宋体" w:hAnsi="宋体" w:hint="eastAsia"/>
        </w:rPr>
        <w:t>和一个无风险资产</w:t>
      </w:r>
      <w:r>
        <w:rPr>
          <w:rFonts w:hint="eastAsia"/>
        </w:rPr>
        <w:t>F</w:t>
      </w:r>
      <w:r>
        <w:rPr>
          <w:rFonts w:ascii="宋体" w:hAnsi="宋体" w:hint="eastAsia"/>
        </w:rPr>
        <w:t>组成。风险证券组合</w:t>
      </w:r>
      <w:r>
        <w:rPr>
          <w:rFonts w:hint="eastAsia"/>
        </w:rPr>
        <w:t>P</w:t>
      </w:r>
      <w:r>
        <w:rPr>
          <w:rFonts w:ascii="宋体" w:hAnsi="宋体" w:hint="eastAsia"/>
        </w:rPr>
        <w:t>的期望收益率为</w:t>
      </w:r>
      <w:r>
        <w:rPr>
          <w:rFonts w:hint="eastAsia"/>
        </w:rPr>
        <w:t>1</w:t>
      </w:r>
      <w:r>
        <w:t>2</w:t>
      </w:r>
      <w:r>
        <w:rPr>
          <w:rFonts w:hint="eastAsia"/>
        </w:rPr>
        <w:t>%</w:t>
      </w:r>
      <w:r>
        <w:rPr>
          <w:rFonts w:ascii="宋体" w:hAnsi="宋体" w:hint="eastAsia"/>
        </w:rPr>
        <w:t>，标准差为</w:t>
      </w:r>
      <w:r>
        <w:rPr>
          <w:rFonts w:hint="eastAsia"/>
        </w:rPr>
        <w:t>25%</w:t>
      </w:r>
      <w:r>
        <w:rPr>
          <w:rFonts w:ascii="宋体" w:hAnsi="宋体" w:hint="eastAsia"/>
        </w:rPr>
        <w:t>，无风险利率为</w:t>
      </w:r>
      <w:r>
        <w:rPr>
          <w:rFonts w:hint="eastAsia"/>
        </w:rPr>
        <w:t>7%</w:t>
      </w:r>
      <w:r>
        <w:rPr>
          <w:rFonts w:ascii="宋体" w:hAnsi="宋体" w:hint="eastAsia"/>
        </w:rPr>
        <w:t>。若整个投资组合</w:t>
      </w:r>
      <w:r>
        <w:rPr>
          <w:rFonts w:hint="eastAsia"/>
        </w:rPr>
        <w:t>M</w:t>
      </w:r>
      <w:r>
        <w:rPr>
          <w:rFonts w:ascii="宋体" w:hAnsi="宋体" w:hint="eastAsia"/>
        </w:rPr>
        <w:t>的标准差为</w:t>
      </w:r>
      <w:r>
        <w:rPr>
          <w:rFonts w:hint="eastAsia"/>
        </w:rPr>
        <w:t>20%</w:t>
      </w:r>
      <w:r>
        <w:rPr>
          <w:rFonts w:ascii="宋体" w:hAnsi="宋体" w:hint="eastAsia"/>
        </w:rPr>
        <w:t>，那么投资组合</w:t>
      </w:r>
      <w:r>
        <w:rPr>
          <w:rFonts w:hint="eastAsia"/>
        </w:rPr>
        <w:t>M</w:t>
      </w:r>
      <w:r>
        <w:rPr>
          <w:rFonts w:ascii="宋体" w:hAnsi="宋体" w:hint="eastAsia"/>
        </w:rPr>
        <w:t>的期望收益率是多少？</w:t>
      </w:r>
    </w:p>
    <w:p w:rsidR="00E8476D" w:rsidRDefault="00E8476D" w:rsidP="00E8476D">
      <w:pPr>
        <w:ind w:left="420"/>
      </w:pPr>
      <w:r>
        <w:rPr>
          <w:rFonts w:ascii="宋体" w:hAnsi="宋体" w:hint="eastAsia"/>
        </w:rPr>
        <w:t>答题要点：</w:t>
      </w:r>
    </w:p>
    <w:p w:rsidR="00E8476D" w:rsidRDefault="00E8476D" w:rsidP="00E8476D">
      <w:pPr>
        <w:ind w:left="420" w:hangingChars="200" w:hanging="420"/>
        <w:rPr>
          <w:rFonts w:hint="eastAsia"/>
        </w:rPr>
      </w:pPr>
      <w:r>
        <w:tab/>
      </w:r>
      <w:r>
        <w:rPr>
          <w:noProof/>
        </w:rPr>
        <w:drawing>
          <wp:inline distT="0" distB="0" distL="0" distR="0">
            <wp:extent cx="4057650" cy="685800"/>
            <wp:effectExtent l="19050" t="0" r="0" b="0"/>
            <wp:docPr id="4" name="图片 4" descr="C:\DOCUME~1\user\LOCALS~1\Temp\ksohtml1804\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user\LOCALS~1\Temp\ksohtml1804\wps4.png"/>
                    <pic:cNvPicPr>
                      <a:picLocks noChangeAspect="1" noChangeArrowheads="1"/>
                    </pic:cNvPicPr>
                  </pic:nvPicPr>
                  <pic:blipFill>
                    <a:blip r:embed="rId6" cstate="print"/>
                    <a:srcRect/>
                    <a:stretch>
                      <a:fillRect/>
                    </a:stretch>
                  </pic:blipFill>
                  <pic:spPr bwMode="auto">
                    <a:xfrm>
                      <a:off x="0" y="0"/>
                      <a:ext cx="4057650" cy="685800"/>
                    </a:xfrm>
                    <a:prstGeom prst="rect">
                      <a:avLst/>
                    </a:prstGeom>
                    <a:noFill/>
                    <a:ln w="9525">
                      <a:noFill/>
                      <a:miter lim="800000"/>
                      <a:headEnd/>
                      <a:tailEnd/>
                    </a:ln>
                  </pic:spPr>
                </pic:pic>
              </a:graphicData>
            </a:graphic>
          </wp:inline>
        </w:drawing>
      </w: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8476D"/>
    <w:rsid w:val="002A32C0"/>
    <w:rsid w:val="00D76706"/>
    <w:rsid w:val="00E847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76D"/>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8476D"/>
    <w:rPr>
      <w:sz w:val="18"/>
      <w:szCs w:val="18"/>
    </w:rPr>
  </w:style>
  <w:style w:type="character" w:customStyle="1" w:styleId="Char">
    <w:name w:val="批注框文本 Char"/>
    <w:basedOn w:val="a0"/>
    <w:link w:val="a3"/>
    <w:uiPriority w:val="99"/>
    <w:semiHidden/>
    <w:rsid w:val="00E8476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68558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2022-06-05T02:03:00Z</dcterms:created>
  <dcterms:modified xsi:type="dcterms:W3CDTF">2022-06-05T02:04:00Z</dcterms:modified>
</cp:coreProperties>
</file>