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971293">
      <w:pPr>
        <w:rPr>
          <w:rFonts w:hint="eastAsia"/>
          <w:sz w:val="24"/>
          <w:u w:val="single"/>
          <w:lang w:val="en-US" w:eastAsia="zh-CN"/>
        </w:rPr>
      </w:pPr>
      <w:r>
        <w:rPr>
          <w:rFonts w:hint="eastAsia"/>
          <w:sz w:val="24"/>
          <w:u w:val="single"/>
          <w:lang w:val="en-US" w:eastAsia="zh-CN"/>
        </w:rPr>
        <w:t>证券投资学复习资料</w:t>
      </w:r>
    </w:p>
    <w:p w14:paraId="704CFE9D">
      <w:pPr>
        <w:spacing w:before="120" w:after="120" w:line="288" w:lineRule="auto"/>
        <w:ind w:left="0"/>
        <w:jc w:val="left"/>
        <w:rPr>
          <w:rFonts w:hint="eastAsia" w:ascii="黑体" w:hAnsi="黑体" w:eastAsia="黑体" w:cs="黑体"/>
          <w:sz w:val="24"/>
          <w:szCs w:val="24"/>
        </w:rPr>
      </w:pPr>
      <w:bookmarkStart w:id="0" w:name="heading_0"/>
      <w:r>
        <w:rPr>
          <w:rFonts w:hint="eastAsia" w:ascii="黑体" w:hAnsi="黑体" w:eastAsia="黑体" w:cs="黑体"/>
          <w:sz w:val="24"/>
          <w:szCs w:val="24"/>
        </w:rPr>
        <w:t>一、单项选择题</w:t>
      </w:r>
      <w:bookmarkEnd w:id="0"/>
    </w:p>
    <w:p w14:paraId="28D193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1.下列证券中，属于所有权证券的是（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 xml:space="preserve"> ）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。</w:t>
      </w:r>
      <w:r>
        <w:rPr>
          <w:rFonts w:hint="eastAsia" w:ascii="宋体" w:hAnsi="宋体" w:eastAsia="宋体" w:cs="宋体"/>
          <w:sz w:val="21"/>
          <w:szCs w:val="21"/>
        </w:rPr>
        <w:t xml:space="preserve">       </w:t>
      </w:r>
    </w:p>
    <w:p w14:paraId="7C8356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A. 债券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1"/>
          <w:szCs w:val="21"/>
        </w:rPr>
        <w:t xml:space="preserve">B. 股票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1"/>
          <w:szCs w:val="21"/>
        </w:rPr>
        <w:t xml:space="preserve">C. 商业票据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</w:rPr>
        <w:t xml:space="preserve">D. 可转换债券    </w:t>
      </w:r>
    </w:p>
    <w:p w14:paraId="1C7862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2.股票价格与每股净利润的比率称为（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 xml:space="preserve"> ）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。</w:t>
      </w:r>
      <w:r>
        <w:rPr>
          <w:rFonts w:hint="eastAsia" w:ascii="宋体" w:hAnsi="宋体" w:eastAsia="宋体" w:cs="宋体"/>
          <w:sz w:val="21"/>
          <w:szCs w:val="21"/>
        </w:rPr>
        <w:t xml:space="preserve">        </w:t>
      </w:r>
    </w:p>
    <w:p w14:paraId="2F44E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A. 市盈率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</w:rPr>
        <w:t xml:space="preserve">B. 市净率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1"/>
          <w:szCs w:val="21"/>
        </w:rPr>
        <w:t xml:space="preserve">C. 净资产收益率  D. 资产负债率      </w:t>
      </w:r>
    </w:p>
    <w:p w14:paraId="0A6B9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sz w:val="21"/>
          <w:szCs w:val="21"/>
        </w:rPr>
        <w:t xml:space="preserve">.下列不属于系统性风险的是（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 xml:space="preserve"> ）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。</w:t>
      </w:r>
      <w:r>
        <w:rPr>
          <w:rFonts w:hint="eastAsia" w:ascii="宋体" w:hAnsi="宋体" w:eastAsia="宋体" w:cs="宋体"/>
          <w:sz w:val="21"/>
          <w:szCs w:val="21"/>
        </w:rPr>
        <w:t xml:space="preserve">        </w:t>
      </w:r>
    </w:p>
    <w:p w14:paraId="437C1C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A. 通货膨胀风险  B. 利率风险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</w:rPr>
        <w:t xml:space="preserve">C. 信用风险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</w:rPr>
        <w:t xml:space="preserve">D. 经济周期波动风险     </w:t>
      </w:r>
    </w:p>
    <w:p w14:paraId="2F44FC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4.根据有效市场假说，证券价格已经充分反映了所有公开信息的市场属于（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 xml:space="preserve"> ）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。</w:t>
      </w:r>
      <w:r>
        <w:rPr>
          <w:rFonts w:hint="eastAsia" w:ascii="宋体" w:hAnsi="宋体" w:eastAsia="宋体" w:cs="宋体"/>
          <w:sz w:val="21"/>
          <w:szCs w:val="21"/>
        </w:rPr>
        <w:t xml:space="preserve">        </w:t>
      </w:r>
    </w:p>
    <w:p w14:paraId="149982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A. 弱式有效市场  B. 半强式有效市场  C. 强式有效市场  D. 无效市场      </w:t>
      </w:r>
    </w:p>
    <w:p w14:paraId="747F6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5.债券发行人无法按时支付利息或偿还本金的风险称为（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 xml:space="preserve"> ）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。</w:t>
      </w:r>
      <w:r>
        <w:rPr>
          <w:rFonts w:hint="eastAsia" w:ascii="宋体" w:hAnsi="宋体" w:eastAsia="宋体" w:cs="宋体"/>
          <w:sz w:val="21"/>
          <w:szCs w:val="21"/>
        </w:rPr>
        <w:t xml:space="preserve">        </w:t>
      </w:r>
    </w:p>
    <w:p w14:paraId="45005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A. 利率风险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</w:rPr>
        <w:t xml:space="preserve">B. 流动性风险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</w:rPr>
        <w:t xml:space="preserve">C. 违约风险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 xml:space="preserve">D. 通货膨胀风险      </w:t>
      </w:r>
    </w:p>
    <w:p w14:paraId="09DE9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6.下列属于证券投资基金特点的是（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 xml:space="preserve"> ）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。</w:t>
      </w:r>
      <w:r>
        <w:rPr>
          <w:rFonts w:hint="eastAsia" w:ascii="宋体" w:hAnsi="宋体" w:eastAsia="宋体" w:cs="宋体"/>
          <w:sz w:val="21"/>
          <w:szCs w:val="21"/>
        </w:rPr>
        <w:t xml:space="preserve">        </w:t>
      </w:r>
    </w:p>
    <w:p w14:paraId="6FB6EA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A. 集中投资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</w:rPr>
        <w:t xml:space="preserve">B. 高风险高收益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 xml:space="preserve">C. 专业管理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 xml:space="preserve">D. 投资者直接参与投资决策      </w:t>
      </w:r>
    </w:p>
    <w:p w14:paraId="087804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</w:p>
    <w:p w14:paraId="34DC5F5E">
      <w:pPr>
        <w:spacing w:line="360" w:lineRule="auto"/>
        <w:rPr>
          <w:rFonts w:hint="eastAsia" w:ascii="黑体" w:hAnsi="黑体" w:eastAsia="黑体" w:cs="黑体"/>
          <w:b w:val="0"/>
          <w:bCs/>
          <w:sz w:val="24"/>
        </w:rPr>
      </w:pPr>
      <w:bookmarkStart w:id="1" w:name="heading_1"/>
      <w:r>
        <w:rPr>
          <w:rFonts w:hint="eastAsia" w:ascii="黑体" w:hAnsi="黑体" w:eastAsia="黑体" w:cs="黑体"/>
          <w:b w:val="0"/>
          <w:bCs/>
          <w:sz w:val="24"/>
        </w:rPr>
        <w:t>二、</w:t>
      </w:r>
      <w:bookmarkEnd w:id="1"/>
      <w:r>
        <w:rPr>
          <w:rFonts w:hint="eastAsia" w:ascii="黑体" w:hAnsi="黑体" w:eastAsia="黑体" w:cs="黑体"/>
          <w:b w:val="0"/>
          <w:bCs/>
          <w:sz w:val="24"/>
        </w:rPr>
        <w:t>多项选择题</w:t>
      </w:r>
    </w:p>
    <w:p w14:paraId="7A3E96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bookmarkStart w:id="2" w:name="heading_2"/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1.证券投资的基本原则包括（        ）。        </w:t>
      </w:r>
    </w:p>
    <w:p w14:paraId="4F72F0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A. 安全性原则           B. 流动性原则    C. 收益性原则  D. 分散投资原则     </w:t>
      </w:r>
    </w:p>
    <w:p w14:paraId="2AC9DB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2.下列属于货币市场工具的有（        ）。       </w:t>
      </w:r>
    </w:p>
    <w:p w14:paraId="18CD3A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A. 国库券               B. 商业票据      C. 股票        D. 短期债券      </w:t>
      </w:r>
    </w:p>
    <w:p w14:paraId="49AE81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3.影响股票价格的宏观经济因素包括（        ）。        </w:t>
      </w:r>
    </w:p>
    <w:p w14:paraId="7F0853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A. 国内生产总值（GDP）  B. 利率水平      C. 通货膨胀率  D. 行业政策     </w:t>
      </w:r>
    </w:p>
    <w:p w14:paraId="70DF91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4.证券投资基金按投资对象可分为（        ）。     </w:t>
      </w:r>
    </w:p>
    <w:p w14:paraId="235A3D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A. 股票型基金           B. 债券型基金    C. 混合型基金  D. 货币市场基金      </w:t>
      </w:r>
    </w:p>
    <w:p w14:paraId="7BED65C7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三、名词解释题</w:t>
      </w:r>
      <w:bookmarkEnd w:id="2"/>
    </w:p>
    <w:p w14:paraId="2B23F372"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val="en-US" w:eastAsia="zh-CN"/>
        </w:rPr>
        <w:t>1.</w:t>
      </w:r>
      <w:r>
        <w:rPr>
          <w:rFonts w:hint="eastAsia" w:ascii="宋体" w:hAnsi="宋体" w:cs="宋体"/>
          <w:szCs w:val="21"/>
        </w:rPr>
        <w:t>证券投资</w:t>
      </w:r>
    </w:p>
    <w:p w14:paraId="64F86622">
      <w:pPr>
        <w:rPr>
          <w:rFonts w:hint="eastAsia" w:ascii="宋体" w:hAnsi="宋体" w:cs="宋体"/>
          <w:szCs w:val="21"/>
          <w:lang w:val="en-US" w:eastAsia="zh-CN"/>
        </w:rPr>
      </w:pPr>
    </w:p>
    <w:p w14:paraId="7D8C715E"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val="en-US" w:eastAsia="zh-CN"/>
        </w:rPr>
        <w:t>2.</w:t>
      </w:r>
      <w:r>
        <w:rPr>
          <w:rFonts w:hint="eastAsia" w:ascii="宋体" w:hAnsi="宋体" w:cs="宋体"/>
          <w:szCs w:val="21"/>
        </w:rPr>
        <w:t>系统性风险</w:t>
      </w:r>
    </w:p>
    <w:p w14:paraId="686B652B">
      <w:pPr>
        <w:rPr>
          <w:rFonts w:hint="eastAsia" w:ascii="宋体" w:hAnsi="宋体" w:cs="宋体"/>
          <w:szCs w:val="21"/>
          <w:lang w:val="en-US" w:eastAsia="zh-CN"/>
        </w:rPr>
      </w:pPr>
    </w:p>
    <w:p w14:paraId="44444A46"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val="en-US" w:eastAsia="zh-CN"/>
        </w:rPr>
        <w:t>3.</w:t>
      </w:r>
      <w:r>
        <w:rPr>
          <w:rFonts w:hint="eastAsia" w:ascii="宋体" w:hAnsi="宋体" w:cs="宋体"/>
          <w:szCs w:val="21"/>
        </w:rPr>
        <w:t>证券投资基金</w:t>
      </w:r>
    </w:p>
    <w:p w14:paraId="4DE3562F">
      <w:pPr>
        <w:rPr>
          <w:rFonts w:hint="eastAsia" w:ascii="宋体" w:hAnsi="宋体" w:cs="宋体"/>
          <w:szCs w:val="21"/>
          <w:lang w:val="en-US" w:eastAsia="zh-CN"/>
        </w:rPr>
      </w:pPr>
    </w:p>
    <w:p w14:paraId="2CA2172D"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val="en-US" w:eastAsia="zh-CN"/>
        </w:rPr>
        <w:t>4.</w:t>
      </w:r>
      <w:r>
        <w:rPr>
          <w:rFonts w:hint="eastAsia" w:ascii="宋体" w:hAnsi="宋体" w:cs="宋体"/>
          <w:szCs w:val="21"/>
        </w:rPr>
        <w:t>有效市场假说</w:t>
      </w:r>
    </w:p>
    <w:p w14:paraId="26F3ECD5">
      <w:pPr>
        <w:rPr>
          <w:rFonts w:hint="eastAsia" w:ascii="宋体" w:hAnsi="宋体" w:cs="宋体"/>
          <w:szCs w:val="21"/>
        </w:rPr>
      </w:pPr>
    </w:p>
    <w:p w14:paraId="200446BB">
      <w:pPr>
        <w:numPr>
          <w:ilvl w:val="0"/>
          <w:numId w:val="1"/>
        </w:numPr>
        <w:spacing w:before="120" w:after="120" w:line="288" w:lineRule="auto"/>
        <w:jc w:val="left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bookmarkStart w:id="3" w:name="heading_3"/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简答题</w:t>
      </w:r>
      <w:bookmarkEnd w:id="3"/>
    </w:p>
    <w:p w14:paraId="107067E3">
      <w:pPr>
        <w:numPr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1.简述股票与债券的主要区别。</w:t>
      </w:r>
    </w:p>
    <w:p w14:paraId="58C3A1AB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2.简述证券投资基金的分类标准及主要类型。</w:t>
      </w:r>
    </w:p>
    <w:p w14:paraId="1728E82F">
      <w:pPr>
        <w:rPr>
          <w:rFonts w:hint="eastAsia" w:ascii="宋体" w:hAnsi="宋体" w:cs="宋体"/>
          <w:szCs w:val="21"/>
        </w:rPr>
      </w:pPr>
    </w:p>
    <w:p w14:paraId="787D4A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黑体" w:hAnsi="黑体" w:eastAsia="黑体" w:cs="黑体"/>
          <w:sz w:val="24"/>
          <w:szCs w:val="24"/>
        </w:rPr>
      </w:pPr>
      <w:bookmarkStart w:id="4" w:name="heading_4"/>
      <w:r>
        <w:rPr>
          <w:rFonts w:hint="eastAsia" w:ascii="黑体" w:hAnsi="黑体" w:eastAsia="黑体" w:cs="黑体"/>
          <w:sz w:val="24"/>
          <w:szCs w:val="24"/>
        </w:rPr>
        <w:t>五、案例分析题</w:t>
      </w:r>
      <w:bookmarkEnd w:id="4"/>
    </w:p>
    <w:p w14:paraId="088976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案例：投资者张某近期计划进行证券投资，初始资金为50万元。在进行投资决策前，张某对市场环境进行了分析：当前宏观经济处于复苏阶段，GDP增速稳步提升，利率水平维持在较低水平；同时，新能源行业作为国家重点支持的战略性新兴产业，行业发展前景广阔，但行业内企业竞争激烈，部分中小企业存在经营不稳定的情况。张某结合自身风险承受能力，制定了初步的投资方案：将30万元投资于新能源行业的龙头上市公司股票，15万元投资于国债，5万元投资于货币市场基金。</w:t>
      </w:r>
    </w:p>
    <w:p w14:paraId="1CD2B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问题：</w:t>
      </w:r>
    </w:p>
    <w:p w14:paraId="25C96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1.张某的投资方案体现了证券投资的哪些基本原则？请结合案例具体分析。</w:t>
      </w:r>
    </w:p>
    <w:p w14:paraId="35F4FA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2.张某投资的新能源行业龙头股、国债、货币市场基金分别面临哪些主要风险？</w:t>
      </w:r>
    </w:p>
    <w:p w14:paraId="49EA6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</w:p>
    <w:p w14:paraId="2D3E67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</w:p>
    <w:p w14:paraId="626149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复习资料参考答案</w:t>
      </w:r>
    </w:p>
    <w:p w14:paraId="7C3A82EF">
      <w:pPr>
        <w:spacing w:before="300" w:after="120" w:line="288" w:lineRule="auto"/>
        <w:ind w:left="0"/>
        <w:jc w:val="left"/>
        <w:outlineLvl w:val="2"/>
        <w:rPr>
          <w:rFonts w:ascii="Calibri" w:hAnsi="Calibri" w:eastAsia="宋体" w:cs="Times New Roman"/>
          <w:kern w:val="0"/>
          <w:szCs w:val="22"/>
        </w:rPr>
      </w:pPr>
      <w:bookmarkStart w:id="5" w:name="heading_6"/>
      <w:r>
        <w:rPr>
          <w:rFonts w:ascii="Arial" w:hAnsi="Arial" w:eastAsia="等线" w:cs="Arial"/>
          <w:b/>
          <w:kern w:val="0"/>
          <w:sz w:val="30"/>
          <w:szCs w:val="22"/>
        </w:rPr>
        <w:t>一、单项选择题</w:t>
      </w:r>
      <w:bookmarkEnd w:id="5"/>
    </w:p>
    <w:p w14:paraId="4424106D">
      <w:pPr>
        <w:spacing w:before="120" w:after="120" w:line="288" w:lineRule="auto"/>
        <w:ind w:left="0"/>
        <w:jc w:val="left"/>
        <w:rPr>
          <w:rFonts w:ascii="Calibri" w:hAnsi="Calibri" w:eastAsia="宋体" w:cs="Times New Roman"/>
          <w:kern w:val="0"/>
          <w:szCs w:val="22"/>
        </w:rPr>
      </w:pPr>
      <w:r>
        <w:rPr>
          <w:rFonts w:ascii="Arial" w:hAnsi="Arial" w:eastAsia="等线" w:cs="Arial"/>
          <w:kern w:val="0"/>
          <w:sz w:val="22"/>
          <w:szCs w:val="22"/>
        </w:rPr>
        <w:t xml:space="preserve">1. B  2. A  3. C  4. B  5. C  6. C  </w:t>
      </w:r>
    </w:p>
    <w:p w14:paraId="2005A7EC">
      <w:pPr>
        <w:spacing w:before="300" w:after="120" w:line="288" w:lineRule="auto"/>
        <w:ind w:left="0"/>
        <w:jc w:val="left"/>
        <w:outlineLvl w:val="2"/>
        <w:rPr>
          <w:rFonts w:ascii="Calibri" w:hAnsi="Calibri" w:eastAsia="宋体" w:cs="Times New Roman"/>
          <w:kern w:val="0"/>
          <w:szCs w:val="22"/>
        </w:rPr>
      </w:pPr>
      <w:bookmarkStart w:id="6" w:name="heading_7"/>
      <w:r>
        <w:rPr>
          <w:rFonts w:ascii="Arial" w:hAnsi="Arial" w:eastAsia="等线" w:cs="Arial"/>
          <w:b/>
          <w:kern w:val="0"/>
          <w:sz w:val="30"/>
          <w:szCs w:val="22"/>
        </w:rPr>
        <w:t>二、多项选择题</w:t>
      </w:r>
      <w:bookmarkEnd w:id="6"/>
    </w:p>
    <w:p w14:paraId="2CD17819">
      <w:pPr>
        <w:spacing w:before="120" w:after="120" w:line="288" w:lineRule="auto"/>
        <w:ind w:left="0"/>
        <w:jc w:val="left"/>
        <w:rPr>
          <w:rFonts w:ascii="Calibri" w:hAnsi="Calibri" w:eastAsia="宋体" w:cs="Times New Roman"/>
          <w:kern w:val="0"/>
          <w:szCs w:val="22"/>
        </w:rPr>
      </w:pPr>
      <w:r>
        <w:rPr>
          <w:rFonts w:ascii="Arial" w:hAnsi="Arial" w:eastAsia="等线" w:cs="Arial"/>
          <w:kern w:val="0"/>
          <w:sz w:val="22"/>
          <w:szCs w:val="22"/>
        </w:rPr>
        <w:t xml:space="preserve">1. ABCD  2. ABD  3. ABC  4. ABCD  </w:t>
      </w:r>
      <w:bookmarkStart w:id="10" w:name="_GoBack"/>
      <w:bookmarkEnd w:id="10"/>
    </w:p>
    <w:p w14:paraId="5D639529">
      <w:pPr>
        <w:spacing w:before="300" w:after="120" w:line="288" w:lineRule="auto"/>
        <w:ind w:left="0"/>
        <w:jc w:val="left"/>
        <w:outlineLvl w:val="2"/>
        <w:rPr>
          <w:rFonts w:ascii="Calibri" w:hAnsi="Calibri" w:eastAsia="宋体" w:cs="Times New Roman"/>
          <w:kern w:val="0"/>
          <w:szCs w:val="22"/>
        </w:rPr>
      </w:pPr>
      <w:bookmarkStart w:id="7" w:name="heading_8"/>
      <w:r>
        <w:rPr>
          <w:rFonts w:ascii="Arial" w:hAnsi="Arial" w:eastAsia="等线" w:cs="Arial"/>
          <w:b/>
          <w:kern w:val="0"/>
          <w:sz w:val="30"/>
          <w:szCs w:val="22"/>
        </w:rPr>
        <w:t>三、名词解释题</w:t>
      </w:r>
      <w:bookmarkEnd w:id="7"/>
    </w:p>
    <w:p w14:paraId="2B57C547">
      <w:pPr>
        <w:numPr>
          <w:numId w:val="0"/>
        </w:numPr>
        <w:spacing w:before="120" w:after="120" w:line="288" w:lineRule="auto"/>
        <w:jc w:val="left"/>
        <w:rPr>
          <w:rFonts w:ascii="Calibri" w:hAnsi="Calibri" w:eastAsia="宋体" w:cs="Times New Roman"/>
          <w:kern w:val="0"/>
          <w:szCs w:val="22"/>
        </w:rPr>
      </w:pPr>
      <w:r>
        <w:rPr>
          <w:rFonts w:hint="eastAsia" w:ascii="Arial" w:hAnsi="Arial" w:eastAsia="等线" w:cs="Arial"/>
          <w:kern w:val="0"/>
          <w:sz w:val="22"/>
          <w:szCs w:val="22"/>
          <w:lang w:val="en-US" w:eastAsia="zh-CN"/>
        </w:rPr>
        <w:t>1.</w:t>
      </w:r>
      <w:r>
        <w:rPr>
          <w:rFonts w:ascii="Arial" w:hAnsi="Arial" w:eastAsia="等线" w:cs="Arial"/>
          <w:kern w:val="0"/>
          <w:sz w:val="22"/>
          <w:szCs w:val="22"/>
        </w:rPr>
        <w:t>证券投资：是指投资者将资金投放于股票、债券、基金、衍生证券等各类证券产品，以获取股息、利息、资本利得等投资收益的经济行为。具有风险性、收益性、流动性等特征。</w:t>
      </w:r>
    </w:p>
    <w:p w14:paraId="6A6854DF">
      <w:pPr>
        <w:numPr>
          <w:numId w:val="0"/>
        </w:numPr>
        <w:spacing w:before="120" w:after="120" w:line="288" w:lineRule="auto"/>
        <w:jc w:val="left"/>
        <w:rPr>
          <w:rFonts w:ascii="Calibri" w:hAnsi="Calibri" w:eastAsia="宋体" w:cs="Times New Roman"/>
          <w:kern w:val="0"/>
          <w:szCs w:val="22"/>
        </w:rPr>
      </w:pPr>
      <w:r>
        <w:rPr>
          <w:rFonts w:hint="eastAsia" w:ascii="Arial" w:hAnsi="Arial" w:eastAsia="等线" w:cs="Arial"/>
          <w:kern w:val="0"/>
          <w:sz w:val="22"/>
          <w:szCs w:val="22"/>
          <w:lang w:val="en-US" w:eastAsia="zh-CN"/>
        </w:rPr>
        <w:t>2.</w:t>
      </w:r>
      <w:r>
        <w:rPr>
          <w:rFonts w:ascii="Arial" w:hAnsi="Arial" w:eastAsia="等线" w:cs="Arial"/>
          <w:kern w:val="0"/>
          <w:sz w:val="22"/>
          <w:szCs w:val="22"/>
        </w:rPr>
        <w:t>系统性风险：又称不可分散风险，是指由宏观经济形势、政策变化、市场利率波动等全局性因素引起的，影响整个证券市场所有证券价格的风险。该风险无法通过分散投资消除。</w:t>
      </w:r>
    </w:p>
    <w:p w14:paraId="0159A01F">
      <w:pPr>
        <w:numPr>
          <w:numId w:val="0"/>
        </w:numPr>
        <w:spacing w:before="120" w:after="120" w:line="288" w:lineRule="auto"/>
        <w:jc w:val="left"/>
        <w:rPr>
          <w:rFonts w:ascii="Calibri" w:hAnsi="Calibri" w:eastAsia="宋体" w:cs="Times New Roman"/>
          <w:kern w:val="0"/>
          <w:szCs w:val="22"/>
        </w:rPr>
      </w:pPr>
      <w:r>
        <w:rPr>
          <w:rFonts w:hint="eastAsia" w:ascii="Arial" w:hAnsi="Arial" w:eastAsia="等线" w:cs="Arial"/>
          <w:kern w:val="0"/>
          <w:sz w:val="22"/>
          <w:szCs w:val="22"/>
          <w:lang w:val="en-US" w:eastAsia="zh-CN"/>
        </w:rPr>
        <w:t>3.</w:t>
      </w:r>
      <w:r>
        <w:rPr>
          <w:rFonts w:ascii="Arial" w:hAnsi="Arial" w:eastAsia="等线" w:cs="Arial"/>
          <w:kern w:val="0"/>
          <w:sz w:val="22"/>
          <w:szCs w:val="22"/>
        </w:rPr>
        <w:t>证券投资基金：是指通过发售基金份额，将众多投资者的资金集中起来，由基金管理人管理，基金托管人托管，以投资组合的方式进行证券投资的一种利益共享、风险共担的集合投资方式。具有专业管理、分散风险、集合投资等特点。</w:t>
      </w:r>
    </w:p>
    <w:p w14:paraId="05CF729E">
      <w:pPr>
        <w:numPr>
          <w:numId w:val="0"/>
        </w:numPr>
        <w:spacing w:before="120" w:after="120" w:line="288" w:lineRule="auto"/>
        <w:jc w:val="left"/>
        <w:rPr>
          <w:rFonts w:ascii="Calibri" w:hAnsi="Calibri" w:eastAsia="宋体" w:cs="Times New Roman"/>
          <w:kern w:val="0"/>
          <w:szCs w:val="22"/>
        </w:rPr>
      </w:pPr>
      <w:r>
        <w:rPr>
          <w:rFonts w:hint="eastAsia" w:ascii="Arial" w:hAnsi="Arial" w:eastAsia="等线" w:cs="Arial"/>
          <w:kern w:val="0"/>
          <w:sz w:val="22"/>
          <w:szCs w:val="22"/>
          <w:lang w:val="en-US" w:eastAsia="zh-CN"/>
        </w:rPr>
        <w:t>4.</w:t>
      </w:r>
      <w:r>
        <w:rPr>
          <w:rFonts w:ascii="Arial" w:hAnsi="Arial" w:eastAsia="等线" w:cs="Arial"/>
          <w:kern w:val="0"/>
          <w:sz w:val="22"/>
          <w:szCs w:val="22"/>
        </w:rPr>
        <w:t>有效市场假说：是指证券市场的价格已经充分反映了所有可获得的信息，投资者无法通过分析信息获取超额收益的理论。根据信息反映的充分程度，分为弱式有效市场、半强式有效市场和强式有效市场三类。</w:t>
      </w:r>
    </w:p>
    <w:p w14:paraId="38809E87">
      <w:pPr>
        <w:spacing w:before="300" w:after="120" w:line="288" w:lineRule="auto"/>
        <w:ind w:left="0"/>
        <w:jc w:val="left"/>
        <w:outlineLvl w:val="2"/>
        <w:rPr>
          <w:rFonts w:ascii="Calibri" w:hAnsi="Calibri" w:eastAsia="宋体" w:cs="Times New Roman"/>
          <w:kern w:val="0"/>
          <w:szCs w:val="22"/>
        </w:rPr>
      </w:pPr>
      <w:bookmarkStart w:id="8" w:name="heading_9"/>
      <w:r>
        <w:rPr>
          <w:rFonts w:ascii="Arial" w:hAnsi="Arial" w:eastAsia="等线" w:cs="Arial"/>
          <w:b/>
          <w:kern w:val="0"/>
          <w:sz w:val="30"/>
          <w:szCs w:val="22"/>
        </w:rPr>
        <w:t>四、简答题</w:t>
      </w:r>
      <w:bookmarkEnd w:id="8"/>
    </w:p>
    <w:p w14:paraId="6D222ADA">
      <w:pPr>
        <w:numPr>
          <w:numId w:val="0"/>
        </w:numPr>
        <w:spacing w:before="120" w:after="120" w:line="288" w:lineRule="auto"/>
        <w:jc w:val="left"/>
        <w:rPr>
          <w:rFonts w:ascii="Calibri" w:hAnsi="Calibri" w:eastAsia="宋体" w:cs="Times New Roman"/>
          <w:kern w:val="0"/>
          <w:szCs w:val="22"/>
        </w:rPr>
      </w:pPr>
      <w:r>
        <w:rPr>
          <w:rFonts w:hint="eastAsia" w:ascii="Arial" w:hAnsi="Arial" w:eastAsia="等线" w:cs="Arial"/>
          <w:kern w:val="0"/>
          <w:sz w:val="22"/>
          <w:szCs w:val="22"/>
          <w:lang w:val="en-US" w:eastAsia="zh-CN"/>
        </w:rPr>
        <w:t>1.</w:t>
      </w:r>
      <w:r>
        <w:rPr>
          <w:rFonts w:ascii="Arial" w:hAnsi="Arial" w:eastAsia="等线" w:cs="Arial"/>
          <w:kern w:val="0"/>
          <w:sz w:val="22"/>
          <w:szCs w:val="22"/>
        </w:rPr>
        <w:t>股票与债券的主要区别：</w:t>
      </w:r>
      <w:r>
        <w:rPr>
          <w:rFonts w:ascii="Arial" w:hAnsi="Arial" w:eastAsia="等线" w:cs="Arial"/>
          <w:kern w:val="0"/>
          <w:sz w:val="22"/>
          <w:szCs w:val="22"/>
        </w:rPr>
        <w:br w:type="textWrapping"/>
      </w:r>
      <w:r>
        <w:rPr>
          <w:rFonts w:ascii="Arial" w:hAnsi="Arial" w:eastAsia="等线" w:cs="Arial"/>
          <w:kern w:val="0"/>
          <w:sz w:val="22"/>
          <w:szCs w:val="22"/>
        </w:rPr>
        <w:t xml:space="preserve">（1）性质不同：股票是所有权凭证，代表股东对公司的所有权；债券是债权凭证，代表债权人与发行人之间的债权债务关系；      </w:t>
      </w:r>
      <w:r>
        <w:rPr>
          <w:rFonts w:ascii="Arial" w:hAnsi="Arial" w:eastAsia="等线" w:cs="Arial"/>
          <w:kern w:val="0"/>
          <w:sz w:val="22"/>
          <w:szCs w:val="22"/>
        </w:rPr>
        <w:br w:type="textWrapping"/>
      </w:r>
      <w:r>
        <w:rPr>
          <w:rFonts w:ascii="Arial" w:hAnsi="Arial" w:eastAsia="等线" w:cs="Arial"/>
          <w:kern w:val="0"/>
          <w:sz w:val="22"/>
          <w:szCs w:val="22"/>
        </w:rPr>
        <w:t xml:space="preserve">（2）收益来源不同：股票收益主要来自股息红利和资本利得；债券收益主要来自利息收入和到期收回本金）；       </w:t>
      </w:r>
      <w:r>
        <w:rPr>
          <w:rFonts w:ascii="Arial" w:hAnsi="Arial" w:eastAsia="等线" w:cs="Arial"/>
          <w:kern w:val="0"/>
          <w:sz w:val="22"/>
          <w:szCs w:val="22"/>
        </w:rPr>
        <w:br w:type="textWrapping"/>
      </w:r>
      <w:r>
        <w:rPr>
          <w:rFonts w:ascii="Arial" w:hAnsi="Arial" w:eastAsia="等线" w:cs="Arial"/>
          <w:kern w:val="0"/>
          <w:sz w:val="22"/>
          <w:szCs w:val="22"/>
        </w:rPr>
        <w:t xml:space="preserve">（3）风险水平不同：股票风险较高，收益不确定；债券风险较低，收益相对稳定；      </w:t>
      </w:r>
      <w:r>
        <w:rPr>
          <w:rFonts w:ascii="Arial" w:hAnsi="Arial" w:eastAsia="等线" w:cs="Arial"/>
          <w:kern w:val="0"/>
          <w:sz w:val="22"/>
          <w:szCs w:val="22"/>
        </w:rPr>
        <w:br w:type="textWrapping"/>
      </w:r>
      <w:r>
        <w:rPr>
          <w:rFonts w:ascii="Arial" w:hAnsi="Arial" w:eastAsia="等线" w:cs="Arial"/>
          <w:kern w:val="0"/>
          <w:sz w:val="22"/>
          <w:szCs w:val="22"/>
        </w:rPr>
        <w:t>（4）偿还性不同：股票无偿还期限，股东不能要求公司退还本金；债券有明确的偿还期限，发行人需按时偿还本金和利息；</w:t>
      </w:r>
      <w:r>
        <w:rPr>
          <w:rFonts w:ascii="Arial" w:hAnsi="Arial" w:eastAsia="等线" w:cs="Arial"/>
          <w:kern w:val="0"/>
          <w:sz w:val="22"/>
          <w:szCs w:val="22"/>
        </w:rPr>
        <w:br w:type="textWrapping"/>
      </w:r>
      <w:r>
        <w:rPr>
          <w:rFonts w:ascii="Arial" w:hAnsi="Arial" w:eastAsia="等线" w:cs="Arial"/>
          <w:kern w:val="0"/>
          <w:sz w:val="22"/>
          <w:szCs w:val="22"/>
        </w:rPr>
        <w:t>（5）权利不同：股票股东享有表决权、选举权等公司经营管理权；债券持有人无公司经营管理权。</w:t>
      </w:r>
      <w:r>
        <w:rPr>
          <w:rFonts w:ascii="Arial" w:hAnsi="Arial" w:eastAsia="等线" w:cs="Arial"/>
          <w:kern w:val="0"/>
          <w:sz w:val="22"/>
          <w:szCs w:val="22"/>
        </w:rPr>
        <w:br w:type="textWrapping"/>
      </w:r>
      <w:r>
        <w:rPr>
          <w:rFonts w:ascii="Arial" w:hAnsi="Arial" w:eastAsia="等线" w:cs="Arial"/>
          <w:kern w:val="0"/>
          <w:sz w:val="22"/>
          <w:szCs w:val="22"/>
        </w:rPr>
        <w:t xml:space="preserve">      </w:t>
      </w:r>
    </w:p>
    <w:p w14:paraId="0FFA16DE">
      <w:pPr>
        <w:numPr>
          <w:numId w:val="0"/>
        </w:numPr>
        <w:spacing w:before="120" w:after="120" w:line="288" w:lineRule="auto"/>
        <w:jc w:val="left"/>
        <w:rPr>
          <w:rFonts w:ascii="Calibri" w:hAnsi="Calibri" w:eastAsia="宋体" w:cs="Times New Roman"/>
          <w:kern w:val="0"/>
          <w:szCs w:val="22"/>
        </w:rPr>
      </w:pPr>
      <w:r>
        <w:rPr>
          <w:rFonts w:hint="eastAsia" w:ascii="Arial" w:hAnsi="Arial" w:eastAsia="等线" w:cs="Arial"/>
          <w:kern w:val="0"/>
          <w:sz w:val="22"/>
          <w:szCs w:val="22"/>
          <w:lang w:val="en-US" w:eastAsia="zh-CN"/>
        </w:rPr>
        <w:t>2.</w:t>
      </w:r>
      <w:r>
        <w:rPr>
          <w:rFonts w:ascii="Arial" w:hAnsi="Arial" w:eastAsia="等线" w:cs="Arial"/>
          <w:kern w:val="0"/>
          <w:sz w:val="22"/>
          <w:szCs w:val="22"/>
        </w:rPr>
        <w:t xml:space="preserve">证券投资基金的分类标准及主要类型：     </w:t>
      </w:r>
      <w:r>
        <w:rPr>
          <w:rFonts w:ascii="Arial" w:hAnsi="Arial" w:eastAsia="等线" w:cs="Arial"/>
          <w:kern w:val="0"/>
          <w:sz w:val="22"/>
          <w:szCs w:val="22"/>
        </w:rPr>
        <w:br w:type="textWrapping"/>
      </w:r>
      <w:r>
        <w:rPr>
          <w:rFonts w:ascii="Arial" w:hAnsi="Arial" w:eastAsia="等线" w:cs="Arial"/>
          <w:kern w:val="0"/>
          <w:sz w:val="22"/>
          <w:szCs w:val="22"/>
        </w:rPr>
        <w:t>（1）按投资对象分类：股票型基金（主要投资股票）、债券型基金（主要投资债券）、混合型基金（同时投资股票和债券）、货币市场基金（投资货币市场工具）；</w:t>
      </w:r>
      <w:r>
        <w:rPr>
          <w:rFonts w:ascii="Arial" w:hAnsi="Arial" w:eastAsia="等线" w:cs="Arial"/>
          <w:kern w:val="0"/>
          <w:sz w:val="22"/>
          <w:szCs w:val="22"/>
        </w:rPr>
        <w:br w:type="textWrapping"/>
      </w:r>
      <w:r>
        <w:rPr>
          <w:rFonts w:ascii="Arial" w:hAnsi="Arial" w:eastAsia="等线" w:cs="Arial"/>
          <w:kern w:val="0"/>
          <w:sz w:val="22"/>
          <w:szCs w:val="22"/>
        </w:rPr>
        <w:t xml:space="preserve">（2）按运作方式分类：开放式基金（随时申购赎回）、封闭式基金（有固定存续期，存续期内不能赎回）；        </w:t>
      </w:r>
      <w:r>
        <w:rPr>
          <w:rFonts w:ascii="Arial" w:hAnsi="Arial" w:eastAsia="等线" w:cs="Arial"/>
          <w:kern w:val="0"/>
          <w:sz w:val="22"/>
          <w:szCs w:val="22"/>
        </w:rPr>
        <w:br w:type="textWrapping"/>
      </w:r>
      <w:r>
        <w:rPr>
          <w:rFonts w:ascii="Arial" w:hAnsi="Arial" w:eastAsia="等线" w:cs="Arial"/>
          <w:kern w:val="0"/>
          <w:sz w:val="22"/>
          <w:szCs w:val="22"/>
        </w:rPr>
        <w:t xml:space="preserve">（3）按投资风格分类：成长型基金（投资成长型企业股票）、价值型基金（投资价值被低估的股票）、平衡型基金（兼顾成长和价值）；     </w:t>
      </w:r>
      <w:r>
        <w:rPr>
          <w:rFonts w:ascii="Arial" w:hAnsi="Arial" w:eastAsia="等线" w:cs="Arial"/>
          <w:kern w:val="0"/>
          <w:sz w:val="22"/>
          <w:szCs w:val="22"/>
        </w:rPr>
        <w:br w:type="textWrapping"/>
      </w:r>
      <w:r>
        <w:rPr>
          <w:rFonts w:ascii="Arial" w:hAnsi="Arial" w:eastAsia="等线" w:cs="Arial"/>
          <w:kern w:val="0"/>
          <w:sz w:val="22"/>
          <w:szCs w:val="22"/>
        </w:rPr>
        <w:t>（4）按募集方式分类：公募基金（向社会公众募集）、私募基金（向特定投资者募集）。</w:t>
      </w:r>
      <w:r>
        <w:rPr>
          <w:rFonts w:ascii="Arial" w:hAnsi="Arial" w:eastAsia="等线" w:cs="Arial"/>
          <w:kern w:val="0"/>
          <w:sz w:val="22"/>
          <w:szCs w:val="22"/>
        </w:rPr>
        <w:br w:type="textWrapping"/>
      </w:r>
      <w:r>
        <w:rPr>
          <w:rFonts w:ascii="Arial" w:hAnsi="Arial" w:eastAsia="等线" w:cs="Arial"/>
          <w:kern w:val="0"/>
          <w:sz w:val="22"/>
          <w:szCs w:val="22"/>
        </w:rPr>
        <w:t xml:space="preserve">      </w:t>
      </w:r>
      <w:bookmarkStart w:id="9" w:name="heading_10"/>
    </w:p>
    <w:p w14:paraId="641B72D7">
      <w:pPr>
        <w:numPr>
          <w:ilvl w:val="0"/>
          <w:numId w:val="0"/>
        </w:numPr>
        <w:spacing w:before="120" w:after="120" w:line="288" w:lineRule="auto"/>
        <w:jc w:val="left"/>
        <w:rPr>
          <w:rFonts w:ascii="Calibri" w:hAnsi="Calibri" w:eastAsia="宋体" w:cs="Times New Roman"/>
          <w:kern w:val="0"/>
          <w:szCs w:val="22"/>
        </w:rPr>
      </w:pPr>
      <w:r>
        <w:rPr>
          <w:rFonts w:ascii="Arial" w:hAnsi="Arial" w:eastAsia="等线" w:cs="Arial"/>
          <w:b/>
          <w:kern w:val="0"/>
          <w:sz w:val="30"/>
          <w:szCs w:val="22"/>
        </w:rPr>
        <w:t>五、案例分析题</w:t>
      </w:r>
      <w:bookmarkEnd w:id="9"/>
    </w:p>
    <w:p w14:paraId="403DB315">
      <w:pPr>
        <w:numPr>
          <w:numId w:val="0"/>
        </w:numPr>
        <w:spacing w:before="120" w:after="120" w:line="288" w:lineRule="auto"/>
        <w:jc w:val="left"/>
        <w:rPr>
          <w:rFonts w:ascii="Calibri" w:hAnsi="Calibri" w:eastAsia="宋体" w:cs="Times New Roman"/>
          <w:kern w:val="0"/>
          <w:szCs w:val="22"/>
        </w:rPr>
      </w:pPr>
      <w:r>
        <w:rPr>
          <w:rFonts w:hint="eastAsia" w:ascii="Arial" w:hAnsi="Arial" w:eastAsia="等线" w:cs="Arial"/>
          <w:kern w:val="0"/>
          <w:sz w:val="22"/>
          <w:szCs w:val="22"/>
          <w:lang w:val="en-US" w:eastAsia="zh-CN"/>
        </w:rPr>
        <w:t>1.</w:t>
      </w:r>
      <w:r>
        <w:rPr>
          <w:rFonts w:ascii="Arial" w:hAnsi="Arial" w:eastAsia="等线" w:cs="Arial"/>
          <w:kern w:val="0"/>
          <w:sz w:val="22"/>
          <w:szCs w:val="22"/>
        </w:rPr>
        <w:t xml:space="preserve">张某的投资方案体现了证券投资的安全性、流动性、收益性和分散投资四大基本原则：    </w:t>
      </w:r>
      <w:r>
        <w:rPr>
          <w:rFonts w:ascii="Arial" w:hAnsi="Arial" w:eastAsia="等线" w:cs="Arial"/>
          <w:kern w:val="0"/>
          <w:sz w:val="22"/>
          <w:szCs w:val="22"/>
        </w:rPr>
        <w:br w:type="textWrapping"/>
      </w:r>
      <w:r>
        <w:rPr>
          <w:rFonts w:ascii="Arial" w:hAnsi="Arial" w:eastAsia="等线" w:cs="Arial"/>
          <w:kern w:val="0"/>
          <w:sz w:val="22"/>
          <w:szCs w:val="22"/>
        </w:rPr>
        <w:t>（1）安全性原则：将15万元投资于国债（风险极低）、5万元投资于货币市场基金（风险较低），保障了部分资金的安全；</w:t>
      </w:r>
      <w:r>
        <w:rPr>
          <w:rFonts w:ascii="Arial" w:hAnsi="Arial" w:eastAsia="等线" w:cs="Arial"/>
          <w:kern w:val="0"/>
          <w:sz w:val="22"/>
          <w:szCs w:val="22"/>
        </w:rPr>
        <w:br w:type="textWrapping"/>
      </w:r>
      <w:r>
        <w:rPr>
          <w:rFonts w:ascii="Arial" w:hAnsi="Arial" w:eastAsia="等线" w:cs="Arial"/>
          <w:kern w:val="0"/>
          <w:sz w:val="22"/>
          <w:szCs w:val="22"/>
        </w:rPr>
        <w:t xml:space="preserve">（2）流动性原则：货币市场基金具有高流动性，可随时变现，满足应急资金需求；国债和股票也具有一定流动性；      </w:t>
      </w:r>
      <w:r>
        <w:rPr>
          <w:rFonts w:ascii="Arial" w:hAnsi="Arial" w:eastAsia="等线" w:cs="Arial"/>
          <w:kern w:val="0"/>
          <w:sz w:val="22"/>
          <w:szCs w:val="22"/>
        </w:rPr>
        <w:br w:type="textWrapping"/>
      </w:r>
      <w:r>
        <w:rPr>
          <w:rFonts w:ascii="Arial" w:hAnsi="Arial" w:eastAsia="等线" w:cs="Arial"/>
          <w:kern w:val="0"/>
          <w:sz w:val="22"/>
          <w:szCs w:val="22"/>
        </w:rPr>
        <w:t xml:space="preserve">（3）收益性原则：将30万元投资于新能源行业龙头股，预期获取较高的资本利得和股息收益，兼顾了投资的收益目标；     </w:t>
      </w:r>
      <w:r>
        <w:rPr>
          <w:rFonts w:ascii="Arial" w:hAnsi="Arial" w:eastAsia="等线" w:cs="Arial"/>
          <w:kern w:val="0"/>
          <w:sz w:val="22"/>
          <w:szCs w:val="22"/>
        </w:rPr>
        <w:br w:type="textWrapping"/>
      </w:r>
      <w:r>
        <w:rPr>
          <w:rFonts w:ascii="Arial" w:hAnsi="Arial" w:eastAsia="等线" w:cs="Arial"/>
          <w:kern w:val="0"/>
          <w:sz w:val="22"/>
          <w:szCs w:val="22"/>
        </w:rPr>
        <w:t>（4）分散投资原则：资金分别投向股票、国债、货币市场基金三类不同风险和收益特征的证券，降低了单一投资的风险。</w:t>
      </w:r>
      <w:r>
        <w:rPr>
          <w:rFonts w:ascii="Arial" w:hAnsi="Arial" w:eastAsia="等线" w:cs="Arial"/>
          <w:kern w:val="0"/>
          <w:sz w:val="22"/>
          <w:szCs w:val="22"/>
        </w:rPr>
        <w:br w:type="textWrapping"/>
      </w:r>
    </w:p>
    <w:p w14:paraId="13CD2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eastAsia" w:ascii="Arial" w:hAnsi="Arial" w:eastAsia="等线" w:cs="Arial"/>
          <w:kern w:val="0"/>
          <w:sz w:val="22"/>
          <w:szCs w:val="22"/>
          <w:lang w:val="en-US" w:eastAsia="zh-CN"/>
        </w:rPr>
        <w:t>2.</w:t>
      </w:r>
      <w:r>
        <w:rPr>
          <w:rFonts w:ascii="Arial" w:hAnsi="Arial" w:eastAsia="等线" w:cs="Arial"/>
          <w:kern w:val="0"/>
          <w:sz w:val="22"/>
          <w:szCs w:val="22"/>
        </w:rPr>
        <w:t xml:space="preserve">各类投资面临的主要风险：      </w:t>
      </w:r>
      <w:r>
        <w:rPr>
          <w:rFonts w:ascii="Arial" w:hAnsi="Arial" w:eastAsia="等线" w:cs="Arial"/>
          <w:kern w:val="0"/>
          <w:sz w:val="22"/>
          <w:szCs w:val="22"/>
        </w:rPr>
        <w:br w:type="textWrapping"/>
      </w:r>
      <w:r>
        <w:rPr>
          <w:rFonts w:ascii="Arial" w:hAnsi="Arial" w:eastAsia="等线" w:cs="Arial"/>
          <w:kern w:val="0"/>
          <w:sz w:val="22"/>
          <w:szCs w:val="22"/>
        </w:rPr>
        <w:t xml:space="preserve">（1）新能源行业龙头股：主要面临系统性风险（如宏观经济衰退、利率上升）、行业竞争风险、政策变动风险（如新能源补贴政策调整）、企业经营风险等；       </w:t>
      </w:r>
      <w:r>
        <w:rPr>
          <w:rFonts w:ascii="Arial" w:hAnsi="Arial" w:eastAsia="等线" w:cs="Arial"/>
          <w:kern w:val="0"/>
          <w:sz w:val="22"/>
          <w:szCs w:val="22"/>
        </w:rPr>
        <w:br w:type="textWrapping"/>
      </w:r>
      <w:r>
        <w:rPr>
          <w:rFonts w:ascii="Arial" w:hAnsi="Arial" w:eastAsia="等线" w:cs="Arial"/>
          <w:kern w:val="0"/>
          <w:sz w:val="22"/>
          <w:szCs w:val="22"/>
        </w:rPr>
        <w:t xml:space="preserve">（2）国债：主要面临利率风险（利率上升会导致国债价格下跌）、通货膨胀风险（通货膨胀会降低国债实际收益）；       </w:t>
      </w:r>
      <w:r>
        <w:rPr>
          <w:rFonts w:ascii="Arial" w:hAnsi="Arial" w:eastAsia="等线" w:cs="Arial"/>
          <w:kern w:val="0"/>
          <w:sz w:val="22"/>
          <w:szCs w:val="22"/>
        </w:rPr>
        <w:br w:type="textWrapping"/>
      </w:r>
      <w:r>
        <w:rPr>
          <w:rFonts w:ascii="Arial" w:hAnsi="Arial" w:eastAsia="等线" w:cs="Arial"/>
          <w:kern w:val="0"/>
          <w:sz w:val="22"/>
          <w:szCs w:val="22"/>
        </w:rPr>
        <w:t>（3）货币市场基金：主要面临利率风险（市场利率下降会导致收益降低）、流动性风险（极端情况下可能出现赎回困难）。</w:t>
      </w:r>
      <w:r>
        <w:rPr>
          <w:rFonts w:ascii="Arial" w:hAnsi="Arial" w:eastAsia="等线" w:cs="Arial"/>
          <w:kern w:val="0"/>
          <w:sz w:val="22"/>
          <w:szCs w:val="22"/>
        </w:rPr>
        <w:br w:type="textWrapping"/>
      </w:r>
    </w:p>
    <w:p w14:paraId="522127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  <w:lang w:val="en-US" w:eastAsia="zh-CN"/>
        </w:rPr>
      </w:pPr>
    </w:p>
    <w:p w14:paraId="66E9F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  <w:lang w:val="en-US" w:eastAsia="zh-CN"/>
        </w:rPr>
      </w:pPr>
    </w:p>
    <w:p w14:paraId="791EDA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  <w:lang w:val="en-US" w:eastAsia="zh-CN"/>
        </w:rPr>
      </w:pPr>
    </w:p>
    <w:p w14:paraId="7F821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  <w:lang w:val="en-US" w:eastAsia="zh-CN"/>
        </w:rPr>
      </w:pPr>
    </w:p>
    <w:p w14:paraId="46605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  <w:lang w:val="en-US" w:eastAsia="zh-CN"/>
        </w:rPr>
      </w:pPr>
    </w:p>
    <w:p w14:paraId="1F99B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  <w:lang w:val="en-US" w:eastAsia="zh-CN"/>
        </w:rPr>
      </w:pPr>
    </w:p>
    <w:p w14:paraId="18E9F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  <w:lang w:val="en-US" w:eastAsia="zh-CN"/>
        </w:rPr>
      </w:pPr>
    </w:p>
    <w:p w14:paraId="44CFCC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  <w:lang w:val="en-US" w:eastAsia="zh-CN"/>
        </w:rPr>
      </w:pPr>
    </w:p>
    <w:p w14:paraId="2D540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  <w:lang w:val="en-US" w:eastAsia="zh-CN"/>
        </w:rPr>
      </w:pPr>
    </w:p>
    <w:p w14:paraId="4C148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  <w:lang w:val="en-US" w:eastAsia="zh-CN"/>
        </w:rPr>
      </w:pPr>
    </w:p>
    <w:p w14:paraId="18080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</w:p>
    <w:p w14:paraId="246EF4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</w:p>
    <w:p w14:paraId="18C2E6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</w:p>
    <w:p w14:paraId="6D48C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</w:p>
    <w:p w14:paraId="31D92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</w:p>
    <w:p w14:paraId="438BC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</w:p>
    <w:p w14:paraId="4394C8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</w:p>
    <w:p w14:paraId="59AC55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</w:p>
    <w:p w14:paraId="479223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Cs w:val="21"/>
        </w:rPr>
      </w:pPr>
    </w:p>
    <w:p w14:paraId="454FEE95">
      <w:pPr>
        <w:rPr>
          <w:rFonts w:hint="eastAsia" w:ascii="宋体" w:hAnsi="宋体" w:cs="宋体"/>
          <w:szCs w:val="21"/>
        </w:rPr>
      </w:pPr>
    </w:p>
    <w:p w14:paraId="2772B5F5">
      <w:pPr>
        <w:rPr>
          <w:rFonts w:hint="default"/>
          <w:sz w:val="24"/>
          <w:u w:val="singl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98A1A6"/>
    <w:multiLevelType w:val="singleLevel"/>
    <w:tmpl w:val="0998A1A6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441386"/>
    <w:rsid w:val="5944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2026-01-12T07:58:00Z</dcterms:created>
  <dc:creator>温岭育华徐老师18957602802</dc:creator>
  <cp:lastModifiedBy>温岭育华徐老师18957602802</cp:lastModifiedBy>
  <dcterms:modified xsi:type="dcterms:W3CDTF">2026-01-12T08:03:43Z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7B01C60FAC6D416CB3021F98F8ACA490_11</vt:lpwstr>
  </property>
  <property fmtid="{D5CDD505-2E9C-101B-9397-08002B2CF9AE}" pid="4" name="KSOTemplateDocerSaveRecord">
    <vt:lpwstr>eyJoZGlkIjoiMDAwYmZmNjc4MWRlZjRmMDc3OWUyMWU0ZmFiMDY3NjIiLCJ1c2VySWQiOiI1NzkxODU4NDUifQ==</vt:lpwstr>
  </property>
</Properties>
</file>