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r>
        <w:rPr>
          <w:rFonts w:hint="eastAsia" w:ascii="宋体" w:hAnsi="宋体" w:eastAsia="宋体" w:cs="宋体"/>
          <w:b/>
          <w:bCs/>
          <w:color w:val="000000"/>
          <w:kern w:val="0"/>
          <w:sz w:val="21"/>
          <w:szCs w:val="21"/>
          <w:u w:val="single"/>
          <w:lang w:val="en-US" w:eastAsia="zh-CN" w:bidi="ar-SA"/>
        </w:rPr>
        <w:t>财务报告分析复习资料</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rPr>
        <w:t>一、单项选择题</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下列选项中，会导致企业总资产周转率下降的是</w:t>
      </w:r>
      <w:r>
        <w:rPr>
          <w:rFonts w:hint="eastAsia" w:ascii="宋体" w:hAnsi="宋体" w:eastAsia="宋体" w:cs="宋体"/>
          <w:color w:val="000000"/>
          <w:sz w:val="21"/>
          <w:szCs w:val="21"/>
          <w:lang w:eastAsia="zh-CN"/>
        </w:rPr>
        <w:t>（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A.企业设备开工率提高</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B.企业进行非生产性固定资产投资</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C.企业淘汰落后产能</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D.固定资产及时维修保养</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2.下列选项中，不属于与投资有关的盈利能力分析指标是（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A.总资产收益率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B.长期资金收益率</w:t>
      </w:r>
      <w:r>
        <w:rPr>
          <w:rFonts w:hint="eastAsia" w:ascii="宋体" w:hAnsi="宋体" w:eastAsia="宋体" w:cs="宋体"/>
          <w:color w:val="000000"/>
          <w:sz w:val="21"/>
          <w:szCs w:val="21"/>
          <w:lang w:eastAsia="zh-CN"/>
        </w:rPr>
        <w:tab/>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C.市盈率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D.资本保值增值率</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3.某公司2019年流动资产平均余额为400万元，流动资产周转次数为8次，2019年净利润为ll20万元，则2019年该公司销售净利率为（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A.30％</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B.35％</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C.40％</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D.45％</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4.某产品目前市场需求趋向饱和，潜在的顾客已经很少，销售额增长缓慢。上述特征表明该产品生命周期阶段是（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A.介绍期</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B.成长期</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C.稳定期</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D.衰退期</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5.下列选项中，属于企业财务发展能力分析的指标是</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A.股利增长率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B.销售增长率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C.资产成新率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D.资本保值增值率</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6.甲公司本年营业收入为5 000万元，营业成本为2 000万元，则甲公司本年销售毛利率是（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A.30％</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B.40％</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C.50％</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D.60％</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7.银行进行财务报表分析时将更为关注企业的（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A.偿债能力</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B.营运能力</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C.获利能力</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D.投资能力</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8.下列指标中,能够较为直观地反映企业主营业务对利润创造的贡献是（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A.销售毛利率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B.销售净利率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C.总资产收益率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D.净资产收益率</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9.下列各项中，不会影响流动比率的业务是（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A.从银行取得长期借款</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B.用现金购买短期债券</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C.用存货进行对外长期投资</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D.用现金购买固定资产</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10.杜邦分析体系中的基本指标不包括（   ）。</w:t>
      </w:r>
    </w:p>
    <w:p>
      <w:pPr>
        <w:tabs>
          <w:tab w:val="left" w:pos="2310"/>
          <w:tab w:val="left" w:pos="4410"/>
          <w:tab w:val="left" w:pos="6510"/>
        </w:tabs>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A.流动比率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B.销售净利率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C.资产负债率</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eastAsia="zh-CN"/>
        </w:rPr>
        <w:t>D.总资产周转率</w:t>
      </w:r>
    </w:p>
    <w:p>
      <w:pPr>
        <w:spacing w:line="240" w:lineRule="auto"/>
        <w:ind w:left="0" w:leftChars="0"/>
        <w:outlineLvl w:val="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二、判断题</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资产负债表是反映企业在一定会计期间的经营成果的会计报表。</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净资产收益率反映企业所有者投入资本的获利能力,但较高的净资产收益率会阻碍所有者权益最大化的实现。</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净资产收益率是最具综合性的评价指标,既不受行业的限制，也不受公司规模的限制。</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营业周期与流动比率之间的关系是:营业周期越短，正常的流动比率就越高;营业周期越长，正常的流动比率就越低。</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5</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对任何企业而言，速动比率应该大于1才是正常的。</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权益乘数侧重于揭示总资本中有多少是靠负债取得的,说明债权人权益的受保障程度。</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w:t>
      </w:r>
      <w:r>
        <w:rPr>
          <w:rFonts w:hint="eastAsia" w:ascii="宋体" w:hAnsi="宋体" w:eastAsia="宋体" w:cs="宋体"/>
          <w:color w:val="000000"/>
          <w:sz w:val="21"/>
          <w:szCs w:val="21"/>
          <w:lang w:eastAsia="zh-CN"/>
        </w:rPr>
        <w:t>.</w:t>
      </w:r>
      <w:r>
        <w:rPr>
          <w:rFonts w:hint="eastAsia" w:ascii="宋体" w:hAnsi="宋体" w:eastAsia="宋体" w:cs="宋体"/>
          <w:color w:val="000000"/>
          <w:spacing w:val="-6"/>
          <w:sz w:val="21"/>
          <w:szCs w:val="21"/>
        </w:rPr>
        <w:t>权益乘数的高低取决于企业的资本结构，资产负债率越高，权益乘数越高,财务风险越大。</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8</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分析企业的长期偿债能力除了关注企业资产和负债的规模与结构外，还需要关注企业的盈利能力。</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9</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为准确计算应收账款的周转效率，其周转额应使用赊销净金额。</w:t>
      </w:r>
      <w:r>
        <w:rPr>
          <w:rFonts w:hint="eastAsia" w:ascii="宋体" w:hAnsi="宋体" w:eastAsia="宋体" w:cs="宋体"/>
          <w:color w:val="000000"/>
          <w:sz w:val="21"/>
          <w:szCs w:val="21"/>
          <w:lang w:eastAsia="zh-CN"/>
        </w:rPr>
        <w:t>（   ）</w:t>
      </w:r>
    </w:p>
    <w:p>
      <w:pPr>
        <w:spacing w:line="240" w:lineRule="auto"/>
        <w:ind w:left="0"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w:t>
      </w:r>
      <w:r>
        <w:rPr>
          <w:rFonts w:hint="eastAsia" w:ascii="宋体" w:hAnsi="宋体" w:eastAsia="宋体" w:cs="宋体"/>
          <w:color w:val="000000"/>
          <w:sz w:val="21"/>
          <w:szCs w:val="21"/>
          <w:lang w:eastAsia="zh-CN"/>
        </w:rPr>
        <w:t>.</w:t>
      </w:r>
      <w:r>
        <w:rPr>
          <w:rFonts w:hint="eastAsia" w:ascii="宋体" w:hAnsi="宋体" w:eastAsia="宋体" w:cs="宋体"/>
          <w:color w:val="000000"/>
          <w:spacing w:val="-6"/>
          <w:sz w:val="21"/>
          <w:szCs w:val="21"/>
        </w:rPr>
        <w:t>在主营业务净利率、总资产周转率不变的情况下，提高资产负债率可以提高净资产收益率。</w:t>
      </w:r>
      <w:r>
        <w:rPr>
          <w:rFonts w:hint="eastAsia" w:ascii="宋体" w:hAnsi="宋体" w:eastAsia="宋体" w:cs="宋体"/>
          <w:color w:val="000000"/>
          <w:sz w:val="21"/>
          <w:szCs w:val="21"/>
          <w:lang w:eastAsia="zh-CN"/>
        </w:rPr>
        <w:t>（   ）</w:t>
      </w:r>
    </w:p>
    <w:p>
      <w:pPr>
        <w:pStyle w:val="3"/>
        <w:tabs>
          <w:tab w:val="left" w:pos="840"/>
        </w:tabs>
        <w:spacing w:before="0" w:beforeAutospacing="0" w:after="0" w:afterAutospacing="0" w:line="240" w:lineRule="auto"/>
        <w:rPr>
          <w:rFonts w:hint="eastAsia" w:ascii="宋体" w:hAnsi="宋体" w:eastAsia="宋体" w:cs="宋体"/>
          <w:b/>
          <w:sz w:val="21"/>
          <w:szCs w:val="21"/>
        </w:rPr>
      </w:pPr>
      <w:r>
        <w:rPr>
          <w:rFonts w:hint="eastAsia" w:ascii="宋体" w:hAnsi="宋体" w:eastAsia="宋体" w:cs="宋体"/>
          <w:b/>
          <w:sz w:val="21"/>
          <w:szCs w:val="21"/>
        </w:rPr>
        <w:t>三、名词解释</w:t>
      </w:r>
    </w:p>
    <w:p>
      <w:pPr>
        <w:spacing w:line="240" w:lineRule="auto"/>
        <w:rPr>
          <w:rFonts w:hint="eastAsia" w:ascii="宋体" w:hAnsi="宋体" w:eastAsia="宋体" w:cs="宋体"/>
          <w:sz w:val="21"/>
          <w:szCs w:val="21"/>
        </w:rPr>
      </w:pPr>
      <w:r>
        <w:rPr>
          <w:rFonts w:hint="eastAsia" w:ascii="宋体" w:hAnsi="宋体" w:eastAsia="宋体" w:cs="宋体"/>
          <w:sz w:val="21"/>
          <w:szCs w:val="21"/>
        </w:rPr>
        <w:t>1、趋势分析法：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2、会计政策：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3、非经常性损益：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4、净资产收益率：</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四、问答题</w:t>
      </w:r>
    </w:p>
    <w:p>
      <w:pPr>
        <w:spacing w:line="240" w:lineRule="auto"/>
        <w:rPr>
          <w:rFonts w:hint="eastAsia" w:ascii="宋体" w:hAnsi="宋体" w:eastAsia="宋体" w:cs="宋体"/>
          <w:sz w:val="21"/>
          <w:szCs w:val="21"/>
        </w:rPr>
      </w:pPr>
      <w:r>
        <w:rPr>
          <w:rFonts w:hint="eastAsia" w:ascii="宋体" w:hAnsi="宋体" w:eastAsia="宋体" w:cs="宋体"/>
          <w:sz w:val="21"/>
          <w:szCs w:val="21"/>
        </w:rPr>
        <w:t>1、所有者权益变动表的作用。</w:t>
      </w:r>
    </w:p>
    <w:p>
      <w:pPr>
        <w:spacing w:line="240" w:lineRule="auto"/>
        <w:rPr>
          <w:rFonts w:hint="eastAsia" w:ascii="宋体" w:hAnsi="宋体" w:eastAsia="宋体" w:cs="宋体"/>
          <w:b/>
          <w:color w:val="000000"/>
          <w:sz w:val="21"/>
          <w:szCs w:val="21"/>
        </w:rPr>
      </w:pPr>
      <w:r>
        <w:rPr>
          <w:rFonts w:hint="eastAsia" w:ascii="宋体" w:hAnsi="宋体" w:eastAsia="宋体" w:cs="宋体"/>
          <w:sz w:val="21"/>
          <w:szCs w:val="21"/>
        </w:rPr>
        <w:t>2、阐述企业财务报告分析的不同主体及其目的。</w:t>
      </w:r>
    </w:p>
    <w:p>
      <w:pPr>
        <w:spacing w:line="240" w:lineRule="auto"/>
        <w:outlineLvl w:val="0"/>
        <w:rPr>
          <w:rFonts w:hint="eastAsia" w:ascii="宋体" w:hAnsi="宋体" w:eastAsia="宋体" w:cs="宋体"/>
          <w:b/>
          <w:color w:val="000000"/>
          <w:sz w:val="21"/>
          <w:szCs w:val="21"/>
        </w:rPr>
      </w:pPr>
      <w:r>
        <w:rPr>
          <w:rFonts w:hint="eastAsia" w:ascii="宋体" w:hAnsi="宋体" w:eastAsia="宋体" w:cs="宋体"/>
          <w:b/>
          <w:color w:val="000000"/>
          <w:sz w:val="21"/>
          <w:szCs w:val="21"/>
        </w:rPr>
        <w:t>五、计算与案例分析题（要求有计算分析过程，得数保留到小数点后面两位）</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B公司财务分析案例，有关数据资料见表1-3。</w:t>
      </w:r>
    </w:p>
    <w:p>
      <w:pPr>
        <w:spacing w:line="240" w:lineRule="auto"/>
        <w:ind w:firstLine="1680" w:firstLineChars="800"/>
        <w:rPr>
          <w:rFonts w:hint="eastAsia" w:ascii="宋体" w:hAnsi="宋体" w:eastAsia="宋体" w:cs="宋体"/>
          <w:sz w:val="21"/>
          <w:szCs w:val="21"/>
        </w:rPr>
      </w:pPr>
      <w:r>
        <w:rPr>
          <w:rFonts w:hint="eastAsia" w:ascii="宋体" w:hAnsi="宋体" w:eastAsia="宋体" w:cs="宋体"/>
          <w:sz w:val="21"/>
          <w:szCs w:val="21"/>
        </w:rPr>
        <w:t>表1   资产负债表摘要                              单位:元</w:t>
      </w:r>
    </w:p>
    <w:tbl>
      <w:tblPr>
        <w:tblStyle w:val="8"/>
        <w:tblW w:w="5000" w:type="pct"/>
        <w:jc w:val="center"/>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Layout w:type="fixed"/>
        <w:tblCellMar>
          <w:top w:w="0" w:type="dxa"/>
          <w:left w:w="108" w:type="dxa"/>
          <w:bottom w:w="0" w:type="dxa"/>
          <w:right w:w="108" w:type="dxa"/>
        </w:tblCellMar>
      </w:tblPr>
      <w:tblGrid>
        <w:gridCol w:w="3911"/>
        <w:gridCol w:w="1958"/>
        <w:gridCol w:w="1958"/>
        <w:gridCol w:w="2049"/>
      </w:tblGrid>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报表日期</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2019</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2018</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2017</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流动资产</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货币资金</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24 806 300 000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30 067 400 000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22 740 100 000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应收票据</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577 000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2 987 000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7 265 000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应收账款</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671 075 000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1 270 500 000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1 841 780 000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存货</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18 258 400 000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17 222 500 000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13 426 700 000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其他流动资产</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9 623 942 000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4 863 787 000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5 409 466 000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流动资产合计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53 502 500 000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53 427 100 000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43 425 300 000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非流动资产</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固定资产净额</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10 749 600 000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8 579 280 000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7 347 470 000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其他非流动资产</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17 999 600 000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14 155 120 000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9 013 630 000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非流动资产合计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28 749 200 000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22 734 400 000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16 361 100 000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资产总计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82 251 700 000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76 161 500 000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59 786 500 000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流动负债合计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43 414 400 000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41 245 300 000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35 638 300 000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非流动负债</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长期借款</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593 838 000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其他非流动负债</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9 540 562 000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5 804 710 000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1 117 670 000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非流动负债合计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10 134 400 000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5 804 710 000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1 117 670 000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负债合计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53 548 800 000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47 050 000 000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36 755 900 000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所有者权益</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实收资本(或股本)</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7 383 040 000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7 383 040 000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6 996 210 000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资本公积</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4 680 920 000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4 679 470 000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517 074 000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盈余公积</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1 160 730 000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1 154 870 000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1 007 130 000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未分配利润</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15 478 210 000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15 894 120 000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14 510 086 000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所有者权益(或股东权益)合计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28 702 900 000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29 111 500 000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23 030 500 000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负债和所有者权益(或股东权益)总计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82 251 700 000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76 161 500 000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59 786 500 000</w:t>
            </w:r>
          </w:p>
        </w:tc>
      </w:tr>
    </w:tbl>
    <w:p>
      <w:pPr>
        <w:spacing w:line="240" w:lineRule="auto"/>
        <w:ind w:firstLine="420" w:firstLineChars="200"/>
        <w:rPr>
          <w:rFonts w:hint="eastAsia" w:ascii="宋体" w:hAnsi="宋体" w:eastAsia="宋体" w:cs="宋体"/>
          <w:sz w:val="21"/>
          <w:szCs w:val="21"/>
        </w:rPr>
      </w:pP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表2利润表                                      单位:元</w:t>
      </w:r>
    </w:p>
    <w:tbl>
      <w:tblPr>
        <w:tblStyle w:val="8"/>
        <w:tblW w:w="5000" w:type="pct"/>
        <w:jc w:val="center"/>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Layout w:type="fixed"/>
        <w:tblCellMar>
          <w:top w:w="0" w:type="dxa"/>
          <w:left w:w="108" w:type="dxa"/>
          <w:bottom w:w="0" w:type="dxa"/>
          <w:right w:w="108" w:type="dxa"/>
        </w:tblCellMar>
      </w:tblPr>
      <w:tblGrid>
        <w:gridCol w:w="4129"/>
        <w:gridCol w:w="1849"/>
        <w:gridCol w:w="1849"/>
        <w:gridCol w:w="2049"/>
      </w:tblGrid>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报表日期</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2019</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2018</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2017</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一、营业总收入</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105 292 000 000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98 357 200 000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93 888 600 000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营业收入</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105 292 000 000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98 357 200 000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93 888 600 000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二、营业总成本</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105 225 000 000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95 352 200 000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87 596 700 000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营业成本</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89 279 100 000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80 884 600 000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76 104 700 000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营业税金及附加</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329 942 000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313 081 000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369 751 000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销售费用</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12 739 700 000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11 810 900 000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9 367 350 000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管理费用</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2 805 670 000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2 350 110 000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2 088 640 000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财务费用</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(149 087 000)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(186 083 000)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(403 236 000)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资产减值损失</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219 939 000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179 548 000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69 537 000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公允价值变动收益</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82 988 000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(3 826 000)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投资收益</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33 919 000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12 508 000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152 192 000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其中:对联营企业和合营企业的投资收益</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(5 875 000)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140 192 000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三、营业利润</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183 903 000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3 013 600 000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6 444 080 000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营业外收入</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161 088 000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354 445 000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117 555 000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营业外支出</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200 605 000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126 450 000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88 410 000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非流动资产处置损失</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21 743 000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5 841 000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4 439 000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利润总额</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144 386 000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3 241 600 000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6 473 230 000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所得税费用</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40 083 000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736 136 000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1 587 220 000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四、净利润</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104 303 000</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2 505 460 000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4 886 010 000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0" w:type="dxa"/>
              <w:right w:w="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五、每股收益</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基本每股收益</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05</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37</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69</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42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稀释每股收益</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05</w:t>
            </w:r>
          </w:p>
        </w:tc>
        <w:tc>
          <w:tcPr>
            <w:tcW w:w="153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37</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69</w:t>
            </w:r>
          </w:p>
        </w:tc>
      </w:tr>
    </w:tbl>
    <w:p>
      <w:pPr>
        <w:spacing w:line="240" w:lineRule="auto"/>
        <w:ind w:firstLine="420" w:firstLineChars="200"/>
        <w:rPr>
          <w:rFonts w:hint="eastAsia" w:ascii="宋体" w:hAnsi="宋体" w:eastAsia="宋体" w:cs="宋体"/>
          <w:sz w:val="21"/>
          <w:szCs w:val="21"/>
        </w:rPr>
      </w:pP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表3现金流量表                         单位:元</w:t>
      </w:r>
    </w:p>
    <w:tbl>
      <w:tblPr>
        <w:tblStyle w:val="8"/>
        <w:tblW w:w="5000" w:type="pct"/>
        <w:jc w:val="center"/>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Layout w:type="fixed"/>
        <w:tblCellMar>
          <w:top w:w="0" w:type="dxa"/>
          <w:left w:w="108" w:type="dxa"/>
          <w:bottom w:w="0" w:type="dxa"/>
          <w:right w:w="108" w:type="dxa"/>
        </w:tblCellMar>
      </w:tblPr>
      <w:tblGrid>
        <w:gridCol w:w="3911"/>
        <w:gridCol w:w="1958"/>
        <w:gridCol w:w="1958"/>
        <w:gridCol w:w="2049"/>
      </w:tblGrid>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报告期</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2019</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2018</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2017</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一、经营活动产生的现金流量</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销售商品、提供劳务收到的现金</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120 912 000 000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112 469 000 000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107 079 000 000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收到的税费返还</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3 122 000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2 986 000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收到的其他与经营活动有关的现金</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2 214 220 000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1 604 340 000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2 809 980 000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经营活动现金流入小计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123 127 000 000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114 076 000 000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109 892 000 000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购买商品、接受劳务支付的现金</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102 477 000 000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91 204 400 000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86 765 000 000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支付给职工以及为职工支付的现金</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4 684 860 000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4 356 400 000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3 923 250 000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支付的各项税费</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2 984 190 000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3 832 920 000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4 250 250 000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支付的其他与经营活动有关的现金</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10 742 100 000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9 382 860 000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8 364 720 000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经营活动现金流出小计</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120 888 000 000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108 777 000 000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103 303 000 000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CellMar>
            <w:top w:w="0" w:type="dxa"/>
            <w:left w:w="108" w:type="dxa"/>
            <w:bottom w:w="0" w:type="dxa"/>
            <w:right w:w="108" w:type="dxa"/>
          </w:tblCellMar>
        </w:tblPrEx>
        <w:trPr>
          <w:jc w:val="center"/>
        </w:trPr>
        <w:tc>
          <w:tcPr>
            <w:tcW w:w="3240" w:type="dxa"/>
            <w:tcMar>
              <w:left w:w="60" w:type="dxa"/>
              <w:right w:w="60" w:type="dxa"/>
            </w:tcMar>
            <w:vAlign w:val="center"/>
          </w:tcPr>
          <w:p>
            <w:pPr>
              <w:spacing w:line="240" w:lineRule="auto"/>
              <w:rPr>
                <w:rFonts w:hint="eastAsia" w:ascii="宋体" w:hAnsi="宋体" w:eastAsia="宋体" w:cs="宋体"/>
                <w:sz w:val="21"/>
                <w:szCs w:val="21"/>
              </w:rPr>
            </w:pPr>
            <w:r>
              <w:rPr>
                <w:rFonts w:hint="eastAsia" w:ascii="宋体" w:hAnsi="宋体" w:eastAsia="宋体" w:cs="宋体"/>
                <w:sz w:val="21"/>
                <w:szCs w:val="21"/>
              </w:rPr>
              <w:t>　　经营活动产生的现金流量净额</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2 238 480 000</w:t>
            </w:r>
          </w:p>
        </w:tc>
        <w:tc>
          <w:tcPr>
            <w:tcW w:w="1620"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5 299 440 000</w:t>
            </w:r>
          </w:p>
        </w:tc>
        <w:tc>
          <w:tcPr>
            <w:tcW w:w="1697" w:type="dxa"/>
            <w:tcMar>
              <w:left w:w="0" w:type="dxa"/>
              <w:right w:w="0" w:type="dxa"/>
            </w:tcMar>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6 588 520 000</w:t>
            </w:r>
          </w:p>
        </w:tc>
      </w:tr>
    </w:tbl>
    <w:p>
      <w:pPr>
        <w:spacing w:line="240" w:lineRule="auto"/>
        <w:ind w:firstLine="420" w:firstLineChars="200"/>
        <w:rPr>
          <w:rFonts w:hint="eastAsia" w:ascii="宋体" w:hAnsi="宋体" w:eastAsia="宋体" w:cs="宋体"/>
          <w:color w:val="000000"/>
          <w:sz w:val="21"/>
          <w:szCs w:val="21"/>
          <w:lang w:eastAsia="zh-CN"/>
        </w:rPr>
      </w:pPr>
      <w:r>
        <w:rPr>
          <w:rFonts w:hint="eastAsia" w:ascii="宋体" w:hAnsi="宋体" w:eastAsia="宋体" w:cs="宋体"/>
          <w:sz w:val="21"/>
          <w:szCs w:val="21"/>
        </w:rPr>
        <w:t>　</w:t>
      </w:r>
      <w:r>
        <w:rPr>
          <w:rFonts w:hint="eastAsia" w:ascii="宋体" w:hAnsi="宋体" w:eastAsia="宋体" w:cs="宋体"/>
          <w:color w:val="000000"/>
          <w:sz w:val="21"/>
          <w:szCs w:val="21"/>
        </w:rPr>
        <w:t>计算与案例分析要求</w:t>
      </w:r>
      <w:r>
        <w:rPr>
          <w:rFonts w:hint="eastAsia" w:ascii="宋体" w:hAnsi="宋体" w:eastAsia="宋体" w:cs="宋体"/>
          <w:color w:val="000000"/>
          <w:sz w:val="21"/>
          <w:szCs w:val="21"/>
          <w:lang w:eastAsia="zh-CN"/>
        </w:rPr>
        <w:t>：</w:t>
      </w:r>
    </w:p>
    <w:p>
      <w:pPr>
        <w:spacing w:line="24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(1)分别计算B公司2019年度的流动比率、速动比率、现金比率。利用上述比率分析B公司的资产流动性与短期偿债能力。</w:t>
      </w:r>
    </w:p>
    <w:p>
      <w:pPr>
        <w:spacing w:line="24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 分别计算B公司2019年度的资产负债率、权益乘数、产权比率、长期资本负债率、利息保障倍数。利用上述比率分析B公司的资本结构与长期偿债能力。</w:t>
      </w:r>
    </w:p>
    <w:p>
      <w:pPr>
        <w:spacing w:line="24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 分别计算B公司2019年度的</w:t>
      </w:r>
      <w:r>
        <w:rPr>
          <w:rFonts w:hint="eastAsia" w:ascii="宋体" w:hAnsi="宋体" w:eastAsia="宋体" w:cs="宋体"/>
          <w:sz w:val="21"/>
          <w:szCs w:val="21"/>
        </w:rPr>
        <w:t>应收账款周转率</w:t>
      </w:r>
      <w:r>
        <w:rPr>
          <w:rFonts w:hint="eastAsia" w:ascii="宋体" w:hAnsi="宋体" w:eastAsia="宋体" w:cs="宋体"/>
          <w:color w:val="000000"/>
          <w:sz w:val="21"/>
          <w:szCs w:val="21"/>
        </w:rPr>
        <w:t>、存货周准率、总资产周转率。，分析公司的营运能力。</w:t>
      </w:r>
    </w:p>
    <w:p>
      <w:pPr>
        <w:spacing w:line="24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（4）分别计算B公司2019年度的营业利润率、总资产净利润率、净资产利润率。分析公司B公司的盈利能力。</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sz w:val="21"/>
          <w:szCs w:val="21"/>
        </w:rPr>
      </w:pPr>
      <w:r>
        <w:rPr>
          <w:rFonts w:hint="eastAsia" w:ascii="宋体" w:hAnsi="宋体" w:eastAsia="宋体" w:cs="宋体"/>
          <w:b/>
          <w:sz w:val="21"/>
          <w:szCs w:val="21"/>
        </w:rPr>
        <w:br w:type="page"/>
      </w:r>
    </w:p>
    <w:p>
      <w:pPr>
        <w:tabs>
          <w:tab w:val="decimal" w:pos="0"/>
        </w:tabs>
        <w:spacing w:line="240" w:lineRule="auto"/>
        <w:jc w:val="center"/>
        <w:rPr>
          <w:rFonts w:hint="eastAsia" w:ascii="宋体" w:hAnsi="宋体" w:eastAsia="宋体" w:cs="宋体"/>
          <w:b/>
          <w:sz w:val="21"/>
          <w:szCs w:val="21"/>
        </w:rPr>
      </w:pPr>
      <w:bookmarkStart w:id="0" w:name="_GoBack"/>
      <w:r>
        <w:rPr>
          <w:rFonts w:hint="eastAsia" w:ascii="宋体" w:hAnsi="宋体" w:eastAsia="宋体" w:cs="宋体"/>
          <w:b/>
          <w:sz w:val="21"/>
          <w:szCs w:val="21"/>
        </w:rPr>
        <w:t>财务报告分析</w:t>
      </w:r>
      <w:r>
        <w:rPr>
          <w:rFonts w:hint="eastAsia" w:ascii="宋体" w:hAnsi="宋体" w:cs="宋体"/>
          <w:b/>
          <w:sz w:val="21"/>
          <w:szCs w:val="21"/>
          <w:lang w:eastAsia="zh-CN"/>
        </w:rPr>
        <w:t>复习资料</w:t>
      </w:r>
      <w:r>
        <w:rPr>
          <w:rFonts w:hint="eastAsia" w:ascii="宋体" w:hAnsi="宋体" w:eastAsia="宋体" w:cs="宋体"/>
          <w:b/>
          <w:sz w:val="21"/>
          <w:szCs w:val="21"/>
        </w:rPr>
        <w:t>答案</w:t>
      </w:r>
    </w:p>
    <w:bookmarkEnd w:id="0"/>
    <w:p>
      <w:pPr>
        <w:tabs>
          <w:tab w:val="decimal" w:pos="0"/>
        </w:tabs>
        <w:spacing w:line="240" w:lineRule="auto"/>
        <w:jc w:val="center"/>
        <w:rPr>
          <w:rFonts w:hint="eastAsia" w:ascii="宋体" w:hAnsi="宋体" w:eastAsia="宋体" w:cs="宋体"/>
          <w:b/>
          <w:sz w:val="21"/>
          <w:szCs w:val="21"/>
        </w:rPr>
      </w:pPr>
    </w:p>
    <w:p>
      <w:pPr>
        <w:pStyle w:val="3"/>
        <w:tabs>
          <w:tab w:val="left" w:pos="840"/>
        </w:tabs>
        <w:spacing w:before="0" w:beforeAutospacing="0" w:after="0" w:afterAutospacing="0" w:line="240" w:lineRule="auto"/>
        <w:rPr>
          <w:rFonts w:hint="eastAsia" w:ascii="宋体" w:hAnsi="宋体" w:eastAsia="宋体" w:cs="宋体"/>
          <w:b/>
          <w:bCs/>
          <w:sz w:val="21"/>
          <w:szCs w:val="21"/>
          <w:lang w:val="en-US" w:eastAsia="zh-CN"/>
        </w:rPr>
      </w:pPr>
      <w:r>
        <w:rPr>
          <w:rFonts w:hint="eastAsia" w:ascii="宋体" w:hAnsi="宋体" w:eastAsia="宋体" w:cs="宋体"/>
          <w:b/>
          <w:sz w:val="21"/>
          <w:szCs w:val="21"/>
        </w:rPr>
        <w:t>一、单项选择题</w:t>
      </w:r>
      <w:r>
        <w:rPr>
          <w:rFonts w:hint="eastAsia" w:ascii="宋体" w:hAnsi="宋体" w:eastAsia="宋体" w:cs="宋体"/>
          <w:b/>
          <w:sz w:val="21"/>
          <w:szCs w:val="21"/>
          <w:lang w:val="en-US" w:eastAsia="zh-CN"/>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B</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B</w:t>
            </w:r>
          </w:p>
        </w:tc>
        <w:tc>
          <w:tcPr>
            <w:tcW w:w="801"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A</w:t>
            </w:r>
          </w:p>
        </w:tc>
        <w:tc>
          <w:tcPr>
            <w:tcW w:w="800"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A</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A</w:t>
            </w:r>
          </w:p>
        </w:tc>
        <w:tc>
          <w:tcPr>
            <w:tcW w:w="800"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A</w:t>
            </w:r>
          </w:p>
        </w:tc>
      </w:tr>
    </w:tbl>
    <w:p>
      <w:pPr>
        <w:pStyle w:val="3"/>
        <w:tabs>
          <w:tab w:val="left" w:pos="840"/>
        </w:tabs>
        <w:spacing w:before="0" w:beforeAutospacing="0" w:after="0" w:afterAutospacing="0" w:line="240" w:lineRule="auto"/>
        <w:rPr>
          <w:rFonts w:hint="eastAsia" w:ascii="宋体" w:hAnsi="宋体" w:eastAsia="宋体" w:cs="宋体"/>
          <w:b/>
          <w:sz w:val="21"/>
          <w:szCs w:val="21"/>
          <w:lang w:eastAsia="zh-CN"/>
        </w:rPr>
      </w:pPr>
      <w:r>
        <w:rPr>
          <w:rFonts w:hint="eastAsia" w:ascii="宋体" w:hAnsi="宋体" w:eastAsia="宋体" w:cs="宋体"/>
          <w:b/>
          <w:sz w:val="21"/>
          <w:szCs w:val="21"/>
        </w:rPr>
        <w:t>二、判断题</w:t>
      </w:r>
      <w:r>
        <w:rPr>
          <w:rFonts w:hint="eastAsia" w:ascii="宋体" w:hAnsi="宋体" w:eastAsia="宋体" w:cs="宋体"/>
          <w:b/>
          <w:sz w:val="21"/>
          <w:szCs w:val="21"/>
          <w:lang w:val="en-US" w:eastAsia="zh-CN"/>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t>
            </w:r>
          </w:p>
        </w:tc>
        <w:tc>
          <w:tcPr>
            <w:tcW w:w="801"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 xml:space="preserve"> ×</w:t>
            </w:r>
          </w:p>
        </w:tc>
        <w:tc>
          <w:tcPr>
            <w:tcW w:w="800"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tc>
        <w:tc>
          <w:tcPr>
            <w:tcW w:w="800"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tc>
        <w:tc>
          <w:tcPr>
            <w:tcW w:w="800"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t>
            </w:r>
          </w:p>
        </w:tc>
        <w:tc>
          <w:tcPr>
            <w:tcW w:w="800" w:type="dxa"/>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t>
            </w:r>
          </w:p>
        </w:tc>
      </w:tr>
    </w:tbl>
    <w:p>
      <w:pPr>
        <w:pStyle w:val="3"/>
        <w:tabs>
          <w:tab w:val="left" w:pos="840"/>
        </w:tabs>
        <w:spacing w:before="0" w:beforeAutospacing="0" w:after="0" w:afterAutospacing="0" w:line="240" w:lineRule="auto"/>
        <w:rPr>
          <w:rFonts w:hint="eastAsia" w:ascii="宋体" w:hAnsi="宋体" w:eastAsia="宋体" w:cs="宋体"/>
          <w:b/>
          <w:sz w:val="21"/>
          <w:szCs w:val="21"/>
          <w:lang w:eastAsia="zh-CN"/>
        </w:rPr>
      </w:pPr>
      <w:r>
        <w:rPr>
          <w:rFonts w:hint="eastAsia" w:ascii="宋体" w:hAnsi="宋体" w:eastAsia="宋体" w:cs="宋体"/>
          <w:b/>
          <w:sz w:val="21"/>
          <w:szCs w:val="21"/>
        </w:rPr>
        <w:t>三、名词解释</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1、趋势分析法：是将企业连续几个期间的财务数据进行对比，确定分析相关的变动情况，得出企业财务状况和经营成果变化趋势的一种分析方法。</w:t>
      </w:r>
    </w:p>
    <w:p>
      <w:pPr>
        <w:spacing w:line="240" w:lineRule="auto"/>
        <w:rPr>
          <w:rFonts w:hint="eastAsia" w:ascii="宋体" w:hAnsi="宋体" w:eastAsia="宋体" w:cs="宋体"/>
          <w:sz w:val="21"/>
          <w:szCs w:val="21"/>
        </w:rPr>
      </w:pPr>
      <w:r>
        <w:rPr>
          <w:rFonts w:hint="eastAsia" w:ascii="宋体" w:hAnsi="宋体" w:eastAsia="宋体" w:cs="宋体"/>
          <w:sz w:val="21"/>
          <w:szCs w:val="21"/>
        </w:rPr>
        <w:t>2、会计政策：企业处理财务信息时所采用的的特定原则、规范、惯例和做法的总称。</w:t>
      </w:r>
    </w:p>
    <w:p>
      <w:pPr>
        <w:spacing w:line="240" w:lineRule="auto"/>
        <w:rPr>
          <w:rFonts w:hint="eastAsia" w:ascii="宋体" w:hAnsi="宋体" w:eastAsia="宋体" w:cs="宋体"/>
          <w:sz w:val="21"/>
          <w:szCs w:val="21"/>
        </w:rPr>
      </w:pPr>
      <w:r>
        <w:rPr>
          <w:rFonts w:hint="eastAsia" w:ascii="宋体" w:hAnsi="宋体" w:eastAsia="宋体" w:cs="宋体"/>
          <w:sz w:val="21"/>
          <w:szCs w:val="21"/>
        </w:rPr>
        <w:t>3、非经常性损益：指与企业正常经营业务无直接关系，以及虽与正常经营业务相关，但由于其性质特殊和偶发性，影响报表使用者对经营业绩和盈利能力做出正常判断的各项交易和事项产生的损益。</w:t>
      </w:r>
    </w:p>
    <w:p>
      <w:pPr>
        <w:spacing w:line="240" w:lineRule="auto"/>
        <w:rPr>
          <w:rFonts w:hint="eastAsia" w:ascii="宋体" w:hAnsi="宋体" w:eastAsia="宋体" w:cs="宋体"/>
          <w:sz w:val="21"/>
          <w:szCs w:val="21"/>
        </w:rPr>
      </w:pPr>
      <w:r>
        <w:rPr>
          <w:rFonts w:hint="eastAsia" w:ascii="宋体" w:hAnsi="宋体" w:eastAsia="宋体" w:cs="宋体"/>
          <w:sz w:val="21"/>
          <w:szCs w:val="21"/>
        </w:rPr>
        <w:t>4、净资产收益率：又称股东权益报酬率，是指企业在某一会计期间的净利润与其平均所有者权益之间的比率，用以衡量股东权益的报酬水平。</w:t>
      </w:r>
    </w:p>
    <w:p>
      <w:pPr>
        <w:pStyle w:val="3"/>
        <w:tabs>
          <w:tab w:val="left" w:pos="840"/>
        </w:tabs>
        <w:spacing w:before="0" w:beforeAutospacing="0" w:after="0" w:afterAutospacing="0" w:line="240" w:lineRule="auto"/>
        <w:rPr>
          <w:rFonts w:hint="eastAsia" w:ascii="宋体" w:hAnsi="宋体" w:eastAsia="宋体" w:cs="宋体"/>
          <w:b/>
          <w:sz w:val="21"/>
          <w:szCs w:val="21"/>
          <w:lang w:eastAsia="zh-CN"/>
        </w:rPr>
      </w:pPr>
      <w:r>
        <w:rPr>
          <w:rFonts w:hint="eastAsia" w:ascii="宋体" w:hAnsi="宋体" w:eastAsia="宋体" w:cs="宋体"/>
          <w:b/>
          <w:sz w:val="21"/>
          <w:szCs w:val="21"/>
        </w:rPr>
        <w:t>四、问答题</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1、请简述所有者权益变动表的作用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ind w:firstLine="480"/>
        <w:rPr>
          <w:rFonts w:hint="eastAsia" w:ascii="宋体" w:hAnsi="宋体" w:eastAsia="宋体" w:cs="宋体"/>
          <w:sz w:val="21"/>
          <w:szCs w:val="21"/>
        </w:rPr>
      </w:pPr>
      <w:r>
        <w:rPr>
          <w:rFonts w:hint="eastAsia" w:ascii="宋体" w:hAnsi="宋体" w:eastAsia="宋体" w:cs="宋体"/>
          <w:sz w:val="21"/>
          <w:szCs w:val="21"/>
        </w:rPr>
        <w:t>参考答案要点：</w:t>
      </w:r>
    </w:p>
    <w:p>
      <w:pPr>
        <w:spacing w:line="240" w:lineRule="auto"/>
        <w:ind w:firstLine="840" w:firstLineChars="400"/>
        <w:rPr>
          <w:rFonts w:hint="eastAsia" w:ascii="宋体" w:hAnsi="宋体" w:eastAsia="宋体" w:cs="宋体"/>
          <w:sz w:val="21"/>
          <w:szCs w:val="21"/>
        </w:rPr>
      </w:pPr>
      <w:r>
        <w:rPr>
          <w:rFonts w:hint="eastAsia" w:ascii="宋体" w:hAnsi="宋体" w:eastAsia="宋体" w:cs="宋体"/>
          <w:sz w:val="21"/>
          <w:szCs w:val="21"/>
        </w:rPr>
        <w:t>（1）反映财务经济实力，提供盈利能力信息；</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        （2）企业自有资本的质量，揭示所有者权益变动的原因；</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        （3）反映股利分配政策及现金支付能力，为投资者投资决策提供信息；</w:t>
      </w:r>
    </w:p>
    <w:p>
      <w:pPr>
        <w:spacing w:line="240" w:lineRule="auto"/>
        <w:ind w:firstLine="840" w:firstLineChars="400"/>
        <w:rPr>
          <w:rFonts w:hint="eastAsia" w:ascii="宋体" w:hAnsi="宋体" w:eastAsia="宋体" w:cs="宋体"/>
          <w:sz w:val="21"/>
          <w:szCs w:val="21"/>
        </w:rPr>
      </w:pPr>
      <w:r>
        <w:rPr>
          <w:rFonts w:hint="eastAsia" w:ascii="宋体" w:hAnsi="宋体" w:eastAsia="宋体" w:cs="宋体"/>
          <w:sz w:val="21"/>
          <w:szCs w:val="21"/>
        </w:rPr>
        <w:t>（4）更好地为利润表和资产负债表提供辅助信息。</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 xml:space="preserve">         内容可适当展开。</w:t>
      </w:r>
      <w:r>
        <w:rPr>
          <w:rFonts w:hint="eastAsia" w:ascii="宋体" w:hAnsi="宋体" w:eastAsia="宋体" w:cs="宋体"/>
          <w:color w:val="FF0000"/>
          <w:sz w:val="21"/>
          <w:szCs w:val="21"/>
          <w:lang w:val="en-US" w:eastAsia="zh-CN"/>
        </w:rPr>
        <w:t xml:space="preserve"> </w:t>
      </w:r>
    </w:p>
    <w:p>
      <w:pPr>
        <w:tabs>
          <w:tab w:val="left" w:pos="495"/>
          <w:tab w:val="left" w:pos="1215"/>
          <w:tab w:val="left" w:pos="5190"/>
        </w:tabs>
        <w:spacing w:line="240" w:lineRule="auto"/>
        <w:rPr>
          <w:rFonts w:hint="eastAsia" w:ascii="宋体" w:hAnsi="宋体" w:eastAsia="宋体" w:cs="宋体"/>
          <w:sz w:val="21"/>
          <w:szCs w:val="21"/>
        </w:rPr>
      </w:pPr>
      <w:r>
        <w:rPr>
          <w:rFonts w:hint="eastAsia" w:ascii="宋体" w:hAnsi="宋体" w:eastAsia="宋体" w:cs="宋体"/>
          <w:sz w:val="21"/>
          <w:szCs w:val="21"/>
        </w:rPr>
        <w:t>（1）阐述阐述企业财务报告分析的不同主体及其目的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tabs>
          <w:tab w:val="left" w:pos="495"/>
          <w:tab w:val="left" w:pos="1215"/>
          <w:tab w:val="left" w:pos="5190"/>
        </w:tabs>
        <w:spacing w:line="240" w:lineRule="auto"/>
        <w:rPr>
          <w:rFonts w:hint="eastAsia" w:ascii="宋体" w:hAnsi="宋体" w:eastAsia="宋体" w:cs="宋体"/>
          <w:sz w:val="21"/>
          <w:szCs w:val="21"/>
        </w:rPr>
      </w:pPr>
      <w:r>
        <w:rPr>
          <w:rFonts w:hint="eastAsia" w:ascii="宋体" w:hAnsi="宋体" w:eastAsia="宋体" w:cs="宋体"/>
          <w:sz w:val="21"/>
          <w:szCs w:val="21"/>
        </w:rPr>
        <w:t xml:space="preserve">    参考答案要点： </w:t>
      </w:r>
    </w:p>
    <w:p>
      <w:pPr>
        <w:tabs>
          <w:tab w:val="left" w:pos="495"/>
          <w:tab w:val="left" w:pos="1215"/>
          <w:tab w:val="left" w:pos="5190"/>
        </w:tabs>
        <w:spacing w:line="240" w:lineRule="auto"/>
        <w:rPr>
          <w:rFonts w:hint="eastAsia" w:ascii="宋体" w:hAnsi="宋体" w:eastAsia="宋体" w:cs="宋体"/>
          <w:sz w:val="21"/>
          <w:szCs w:val="21"/>
        </w:rPr>
      </w:pPr>
      <w:r>
        <w:rPr>
          <w:rFonts w:hint="eastAsia" w:ascii="宋体" w:hAnsi="宋体" w:eastAsia="宋体" w:cs="宋体"/>
          <w:sz w:val="21"/>
          <w:szCs w:val="21"/>
        </w:rPr>
        <w:t xml:space="preserve">  （一）经营管理者； （二）投资者；（三）债权人；（四）供应商、顾客等；（五）政府有关部门；（六）员工；（七）其他。</w:t>
      </w:r>
    </w:p>
    <w:p>
      <w:pPr>
        <w:spacing w:line="240" w:lineRule="auto"/>
        <w:rPr>
          <w:rFonts w:hint="eastAsia" w:ascii="宋体" w:hAnsi="宋体" w:eastAsia="宋体" w:cs="宋体"/>
          <w:b/>
          <w:sz w:val="21"/>
          <w:szCs w:val="21"/>
          <w:lang w:eastAsia="zh-CN"/>
        </w:rPr>
      </w:pPr>
      <w:r>
        <w:rPr>
          <w:rFonts w:hint="eastAsia" w:ascii="宋体" w:hAnsi="宋体" w:eastAsia="宋体" w:cs="宋体"/>
          <w:color w:val="FF0000"/>
          <w:sz w:val="21"/>
          <w:szCs w:val="21"/>
          <w:lang w:val="en-US" w:eastAsia="zh-CN"/>
        </w:rPr>
        <w:t xml:space="preserve"> </w:t>
      </w:r>
      <w:r>
        <w:rPr>
          <w:rFonts w:hint="eastAsia" w:ascii="宋体" w:hAnsi="宋体" w:eastAsia="宋体" w:cs="宋体"/>
          <w:b/>
          <w:sz w:val="21"/>
          <w:szCs w:val="21"/>
        </w:rPr>
        <w:t>五、计算与案例分析题</w:t>
      </w:r>
      <w:r>
        <w:rPr>
          <w:rFonts w:hint="eastAsia" w:ascii="宋体" w:hAnsi="宋体" w:eastAsia="宋体" w:cs="宋体"/>
          <w:b/>
          <w:sz w:val="21"/>
          <w:szCs w:val="21"/>
          <w:lang w:val="en-US" w:eastAsia="zh-CN"/>
        </w:rPr>
        <w:t xml:space="preserve"> </w:t>
      </w:r>
    </w:p>
    <w:p>
      <w:pPr>
        <w:spacing w:line="240" w:lineRule="auto"/>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sz w:val="21"/>
          <w:szCs w:val="21"/>
        </w:rPr>
        <w:t>1、答：</w:t>
      </w:r>
      <w:r>
        <w:rPr>
          <w:rFonts w:hint="eastAsia" w:ascii="宋体" w:hAnsi="宋体" w:eastAsia="宋体" w:cs="宋体"/>
          <w:sz w:val="21"/>
          <w:szCs w:val="21"/>
          <w:lang w:val="en-US" w:eastAsia="zh-CN"/>
        </w:rPr>
        <w:t xml:space="preserve"> </w:t>
      </w:r>
    </w:p>
    <w:p>
      <w:pPr>
        <w:spacing w:line="240" w:lineRule="auto"/>
        <w:ind w:firstLine="420" w:firstLineChars="200"/>
        <w:rPr>
          <w:rFonts w:hint="eastAsia" w:ascii="宋体" w:hAnsi="宋体" w:eastAsia="宋体" w:cs="宋体"/>
          <w:color w:val="000000"/>
          <w:sz w:val="21"/>
          <w:szCs w:val="21"/>
        </w:rPr>
      </w:pPr>
    </w:p>
    <w:p>
      <w:pPr>
        <w:spacing w:line="240" w:lineRule="auto"/>
        <w:ind w:firstLine="420" w:firstLineChars="200"/>
        <w:rPr>
          <w:rFonts w:hint="eastAsia" w:ascii="宋体" w:hAnsi="宋体" w:eastAsia="宋体" w:cs="宋体"/>
          <w:sz w:val="21"/>
          <w:szCs w:val="21"/>
        </w:rPr>
      </w:pPr>
      <w:r>
        <w:rPr>
          <w:rFonts w:hint="eastAsia" w:ascii="宋体" w:hAnsi="宋体" w:eastAsia="宋体" w:cs="宋体"/>
          <w:color w:val="000000"/>
          <w:sz w:val="21"/>
          <w:szCs w:val="21"/>
        </w:rPr>
        <w:t>2. 答：</w:t>
      </w:r>
      <w:r>
        <w:rPr>
          <w:rFonts w:hint="eastAsia" w:ascii="宋体" w:hAnsi="宋体" w:eastAsia="宋体" w:cs="宋体"/>
          <w:sz w:val="21"/>
          <w:szCs w:val="21"/>
        </w:rPr>
        <w:t xml:space="preserve">资产负债率=53 548 800 000÷82 251 700 000=0.65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权益乘数=82 251 700 000÷28 702 900 000=2.87</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产权比率=53 548 800 000÷28 702 900 000=1.87</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长期资本负债率=10 134 400 000÷(10 134 400 000+28 702 900 000)=0.26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利息保障倍数=(144 386 000-149 087 000)÷ 149 087 000</w:t>
      </w:r>
    </w:p>
    <w:p>
      <w:pPr>
        <w:spacing w:line="24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　　　　　　=-0.032</w:t>
      </w:r>
      <w:r>
        <w:rPr>
          <w:rFonts w:hint="eastAsia" w:ascii="宋体" w:hAnsi="宋体" w:eastAsia="宋体" w:cs="宋体"/>
          <w:color w:val="FF0000"/>
          <w:sz w:val="21"/>
          <w:szCs w:val="21"/>
          <w:lang w:val="en-US" w:eastAsia="zh-CN"/>
        </w:rPr>
        <w:t xml:space="preserve"> </w:t>
      </w:r>
    </w:p>
    <w:p>
      <w:pPr>
        <w:spacing w:line="24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前四项表明长期偿债能力一般，但利息保障倍数为负说明偿债能力好</w:t>
      </w:r>
      <w:r>
        <w:rPr>
          <w:rFonts w:hint="eastAsia" w:ascii="宋体" w:hAnsi="宋体" w:eastAsia="宋体" w:cs="宋体"/>
          <w:color w:val="FF0000"/>
          <w:sz w:val="21"/>
          <w:szCs w:val="21"/>
          <w:lang w:val="en-US" w:eastAsia="zh-CN"/>
        </w:rPr>
        <w:t xml:space="preserve">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color w:val="000000"/>
          <w:sz w:val="21"/>
          <w:szCs w:val="21"/>
        </w:rPr>
        <w:t>3. 答：2019年</w:t>
      </w:r>
      <w:r>
        <w:rPr>
          <w:rFonts w:hint="eastAsia" w:ascii="宋体" w:hAnsi="宋体" w:eastAsia="宋体" w:cs="宋体"/>
          <w:sz w:val="21"/>
          <w:szCs w:val="21"/>
        </w:rPr>
        <w:t>各年指标计算结果如下:</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应收账款周转率=105 292 000 000 ÷[ (671 075 000+ 1 270 500 000)÷2]=108.46</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存货周转率=18 258 400 000÷[(18 258 400 000+17 222 500 000)÷2]=1.03</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总资产周转率=105 292 000 000 ÷[( 82 251 700 000+ 76 161 500 000)÷2]=1.32 </w:t>
      </w:r>
    </w:p>
    <w:p>
      <w:pPr>
        <w:spacing w:line="240" w:lineRule="auto"/>
        <w:ind w:firstLine="420" w:firstLineChars="200"/>
        <w:rPr>
          <w:rFonts w:hint="eastAsia" w:ascii="宋体" w:hAnsi="宋体" w:eastAsia="宋体" w:cs="宋体"/>
          <w:sz w:val="21"/>
          <w:szCs w:val="21"/>
          <w:lang w:eastAsia="zh-CN"/>
        </w:rPr>
      </w:pPr>
      <w:r>
        <w:rPr>
          <w:rFonts w:hint="eastAsia" w:ascii="宋体" w:hAnsi="宋体" w:eastAsia="宋体" w:cs="宋体"/>
          <w:color w:val="FF0000"/>
          <w:sz w:val="21"/>
          <w:szCs w:val="21"/>
          <w:lang w:val="en-US" w:eastAsia="zh-CN"/>
        </w:rPr>
        <w:t xml:space="preserve"> </w:t>
      </w:r>
      <w:r>
        <w:rPr>
          <w:rFonts w:hint="eastAsia" w:ascii="宋体" w:hAnsi="宋体" w:eastAsia="宋体" w:cs="宋体"/>
          <w:b/>
          <w:color w:val="000000" w:themeColor="text1"/>
          <w:sz w:val="21"/>
          <w:szCs w:val="21"/>
        </w:rPr>
        <w:t>公司营运能力较好</w:t>
      </w:r>
      <w:r>
        <w:rPr>
          <w:rFonts w:hint="eastAsia" w:ascii="宋体" w:hAnsi="宋体" w:eastAsia="宋体" w:cs="宋体"/>
          <w:color w:val="000000"/>
          <w:sz w:val="21"/>
          <w:szCs w:val="21"/>
        </w:rPr>
        <w:t>。</w:t>
      </w:r>
      <w:r>
        <w:rPr>
          <w:rFonts w:hint="eastAsia" w:ascii="宋体" w:hAnsi="宋体" w:eastAsia="宋体" w:cs="宋体"/>
          <w:color w:val="FF0000"/>
          <w:sz w:val="21"/>
          <w:szCs w:val="21"/>
          <w:lang w:val="en-US" w:eastAsia="zh-CN"/>
        </w:rPr>
        <w:t xml:space="preserve"> </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4.营业利润率=183 903 000÷105 292 000 000=0.002</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总资产净利率=104 303 000÷[(82 251 700 000+76 161 500 000)÷2]=0.0013</w:t>
      </w:r>
    </w:p>
    <w:p>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净资产利润率=104 303 000÷[(28 702 900 000+29 111 500 000)÷2]=0.0036</w:t>
      </w:r>
    </w:p>
    <w:p>
      <w:pPr>
        <w:spacing w:line="240" w:lineRule="auto"/>
        <w:rPr>
          <w:rFonts w:hint="eastAsia" w:ascii="宋体" w:hAnsi="宋体" w:eastAsia="宋体" w:cs="宋体"/>
          <w:color w:val="000000"/>
          <w:sz w:val="21"/>
          <w:szCs w:val="21"/>
          <w:lang w:eastAsia="zh-CN"/>
        </w:rPr>
      </w:pPr>
      <w:r>
        <w:rPr>
          <w:rFonts w:hint="eastAsia" w:ascii="宋体" w:hAnsi="宋体" w:eastAsia="宋体" w:cs="宋体"/>
          <w:color w:val="FF0000"/>
          <w:sz w:val="21"/>
          <w:szCs w:val="21"/>
          <w:lang w:val="en-US" w:eastAsia="zh-CN"/>
        </w:rPr>
        <w:t xml:space="preserve"> </w:t>
      </w:r>
      <w:r>
        <w:rPr>
          <w:rFonts w:hint="eastAsia" w:ascii="宋体" w:hAnsi="宋体" w:eastAsia="宋体" w:cs="宋体"/>
          <w:color w:val="000000"/>
          <w:sz w:val="21"/>
          <w:szCs w:val="21"/>
        </w:rPr>
        <w:t xml:space="preserve">    分析：</w:t>
      </w:r>
      <w:r>
        <w:rPr>
          <w:rFonts w:hint="eastAsia" w:ascii="宋体" w:hAnsi="宋体" w:eastAsia="宋体" w:cs="宋体"/>
          <w:b/>
          <w:color w:val="FF0000"/>
          <w:sz w:val="21"/>
          <w:szCs w:val="21"/>
        </w:rPr>
        <w:t>公司获利能力一般</w:t>
      </w:r>
      <w:r>
        <w:rPr>
          <w:rFonts w:hint="eastAsia" w:ascii="宋体" w:hAnsi="宋体" w:eastAsia="宋体" w:cs="宋体"/>
          <w:color w:val="000000"/>
          <w:sz w:val="21"/>
          <w:szCs w:val="21"/>
        </w:rPr>
        <w:t>。</w:t>
      </w:r>
      <w:r>
        <w:rPr>
          <w:rFonts w:hint="eastAsia" w:ascii="宋体" w:hAnsi="宋体" w:eastAsia="宋体" w:cs="宋体"/>
          <w:color w:val="FF0000"/>
          <w:sz w:val="21"/>
          <w:szCs w:val="21"/>
          <w:lang w:val="en-US" w:eastAsia="zh-CN"/>
        </w:rPr>
        <w:t xml:space="preserve"> </w:t>
      </w:r>
    </w:p>
    <w:p>
      <w:pPr>
        <w:spacing w:line="240" w:lineRule="auto"/>
        <w:rPr>
          <w:rFonts w:hint="eastAsia" w:ascii="宋体" w:hAnsi="宋体" w:eastAsia="宋体" w:cs="宋体"/>
          <w:sz w:val="21"/>
          <w:szCs w:val="21"/>
        </w:rPr>
      </w:pPr>
    </w:p>
    <w:sectPr>
      <w:headerReference r:id="rId3" w:type="default"/>
      <w:footerReference r:id="rId4" w:type="default"/>
      <w:pgSz w:w="11906" w:h="16838"/>
      <w:pgMar w:top="1020" w:right="1049" w:bottom="1117" w:left="98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幼圆">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幼圆" w:eastAsia="幼圆"/>
      </w:rPr>
    </w:pPr>
    <w:r>
      <w:rPr>
        <w:rFonts w:hint="eastAsia" w:ascii="幼圆" w:eastAsia="幼圆"/>
        <w:kern w:val="0"/>
      </w:rPr>
      <w:t xml:space="preserve">第 </w:t>
    </w:r>
    <w:r>
      <w:rPr>
        <w:rFonts w:hint="eastAsia" w:ascii="幼圆" w:eastAsia="幼圆"/>
        <w:kern w:val="0"/>
      </w:rPr>
      <w:fldChar w:fldCharType="begin"/>
    </w:r>
    <w:r>
      <w:rPr>
        <w:rFonts w:hint="eastAsia" w:ascii="幼圆" w:eastAsia="幼圆"/>
        <w:kern w:val="0"/>
      </w:rPr>
      <w:instrText xml:space="preserve"> PAGE </w:instrText>
    </w:r>
    <w:r>
      <w:rPr>
        <w:rFonts w:hint="eastAsia" w:ascii="幼圆" w:eastAsia="幼圆"/>
        <w:kern w:val="0"/>
      </w:rPr>
      <w:fldChar w:fldCharType="separate"/>
    </w:r>
    <w:r>
      <w:rPr>
        <w:rFonts w:ascii="幼圆" w:eastAsia="幼圆"/>
        <w:kern w:val="0"/>
      </w:rPr>
      <w:t>1</w:t>
    </w:r>
    <w:r>
      <w:rPr>
        <w:rFonts w:hint="eastAsia" w:ascii="幼圆" w:eastAsia="幼圆"/>
        <w:kern w:val="0"/>
      </w:rPr>
      <w:fldChar w:fldCharType="end"/>
    </w:r>
    <w:r>
      <w:rPr>
        <w:rFonts w:hint="eastAsia" w:ascii="幼圆" w:eastAsia="幼圆"/>
        <w:kern w:val="0"/>
      </w:rPr>
      <w:t xml:space="preserve"> 页 共 </w:t>
    </w:r>
    <w:r>
      <w:rPr>
        <w:rFonts w:hint="eastAsia" w:ascii="幼圆" w:eastAsia="幼圆"/>
        <w:kern w:val="0"/>
      </w:rPr>
      <w:fldChar w:fldCharType="begin"/>
    </w:r>
    <w:r>
      <w:rPr>
        <w:rFonts w:hint="eastAsia" w:ascii="幼圆" w:eastAsia="幼圆"/>
        <w:kern w:val="0"/>
      </w:rPr>
      <w:instrText xml:space="preserve"> NUMPAGES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left" w:pos="1318"/>
      </w:tabs>
      <w:jc w:val="left"/>
      <w:rPr>
        <w:rFonts w:hint="eastAsia" w:eastAsia="宋体"/>
        <w:lang w:eastAsia="zh-CN"/>
      </w:rPr>
    </w:pPr>
    <w:r>
      <w:rPr>
        <w:rFonts w:hint="eastAsia"/>
        <w:lang w:eastAsia="zh-CN"/>
      </w:rPr>
      <w:tab/>
    </w:r>
    <w:r>
      <w:rPr>
        <w:rFonts w:hint="eastAsia"/>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248AC"/>
    <w:rsid w:val="00012277"/>
    <w:rsid w:val="000169C2"/>
    <w:rsid w:val="00033AFB"/>
    <w:rsid w:val="00035AB7"/>
    <w:rsid w:val="00041748"/>
    <w:rsid w:val="0004288E"/>
    <w:rsid w:val="0004304B"/>
    <w:rsid w:val="000556EE"/>
    <w:rsid w:val="000561CA"/>
    <w:rsid w:val="0006200C"/>
    <w:rsid w:val="00063BA7"/>
    <w:rsid w:val="00070F60"/>
    <w:rsid w:val="000A69E0"/>
    <w:rsid w:val="000B4365"/>
    <w:rsid w:val="000C230D"/>
    <w:rsid w:val="000C4D52"/>
    <w:rsid w:val="000C7196"/>
    <w:rsid w:val="000D1161"/>
    <w:rsid w:val="000D425D"/>
    <w:rsid w:val="000F4ABB"/>
    <w:rsid w:val="00102117"/>
    <w:rsid w:val="00104EA7"/>
    <w:rsid w:val="0010743D"/>
    <w:rsid w:val="001219BF"/>
    <w:rsid w:val="00124297"/>
    <w:rsid w:val="001342A1"/>
    <w:rsid w:val="00145ABB"/>
    <w:rsid w:val="00152360"/>
    <w:rsid w:val="0016267C"/>
    <w:rsid w:val="00165089"/>
    <w:rsid w:val="00171961"/>
    <w:rsid w:val="00185E98"/>
    <w:rsid w:val="0019142D"/>
    <w:rsid w:val="001971F5"/>
    <w:rsid w:val="001A4A38"/>
    <w:rsid w:val="001B671F"/>
    <w:rsid w:val="001B7A9C"/>
    <w:rsid w:val="001C1062"/>
    <w:rsid w:val="001E228E"/>
    <w:rsid w:val="001E564B"/>
    <w:rsid w:val="001F40BE"/>
    <w:rsid w:val="00241EF1"/>
    <w:rsid w:val="00262866"/>
    <w:rsid w:val="0026534F"/>
    <w:rsid w:val="00274641"/>
    <w:rsid w:val="0027698E"/>
    <w:rsid w:val="00290B98"/>
    <w:rsid w:val="00292483"/>
    <w:rsid w:val="0029398D"/>
    <w:rsid w:val="0029466C"/>
    <w:rsid w:val="00294BE2"/>
    <w:rsid w:val="0029552C"/>
    <w:rsid w:val="002A265D"/>
    <w:rsid w:val="002A3FEF"/>
    <w:rsid w:val="002C3C05"/>
    <w:rsid w:val="002E0738"/>
    <w:rsid w:val="002F10A6"/>
    <w:rsid w:val="002F6338"/>
    <w:rsid w:val="00303B1B"/>
    <w:rsid w:val="003132EC"/>
    <w:rsid w:val="003200E9"/>
    <w:rsid w:val="003207BE"/>
    <w:rsid w:val="00322A91"/>
    <w:rsid w:val="0033165F"/>
    <w:rsid w:val="00342C8E"/>
    <w:rsid w:val="003441B7"/>
    <w:rsid w:val="00347137"/>
    <w:rsid w:val="00362AC6"/>
    <w:rsid w:val="00365994"/>
    <w:rsid w:val="00366EB9"/>
    <w:rsid w:val="00370E18"/>
    <w:rsid w:val="0039162A"/>
    <w:rsid w:val="00393FC8"/>
    <w:rsid w:val="00395B44"/>
    <w:rsid w:val="003B050C"/>
    <w:rsid w:val="003B45E1"/>
    <w:rsid w:val="003B7828"/>
    <w:rsid w:val="003C5344"/>
    <w:rsid w:val="003D1818"/>
    <w:rsid w:val="003F11C4"/>
    <w:rsid w:val="003F4DA0"/>
    <w:rsid w:val="003F5486"/>
    <w:rsid w:val="00422FBC"/>
    <w:rsid w:val="00424338"/>
    <w:rsid w:val="00432ECC"/>
    <w:rsid w:val="0043367E"/>
    <w:rsid w:val="004339E8"/>
    <w:rsid w:val="00433AA9"/>
    <w:rsid w:val="004450F3"/>
    <w:rsid w:val="0045229C"/>
    <w:rsid w:val="00455CB4"/>
    <w:rsid w:val="00457128"/>
    <w:rsid w:val="00465C0D"/>
    <w:rsid w:val="00467964"/>
    <w:rsid w:val="0047127D"/>
    <w:rsid w:val="004724BA"/>
    <w:rsid w:val="00475F86"/>
    <w:rsid w:val="00477C1B"/>
    <w:rsid w:val="00482215"/>
    <w:rsid w:val="0048235A"/>
    <w:rsid w:val="00483EA1"/>
    <w:rsid w:val="00491961"/>
    <w:rsid w:val="004975EA"/>
    <w:rsid w:val="004A1C6A"/>
    <w:rsid w:val="004A313B"/>
    <w:rsid w:val="004A43DC"/>
    <w:rsid w:val="004B1AC5"/>
    <w:rsid w:val="004C2D7B"/>
    <w:rsid w:val="004D44C4"/>
    <w:rsid w:val="004D5C97"/>
    <w:rsid w:val="004E0BD9"/>
    <w:rsid w:val="004E1519"/>
    <w:rsid w:val="004F7F47"/>
    <w:rsid w:val="005051DB"/>
    <w:rsid w:val="00506D1E"/>
    <w:rsid w:val="005248AC"/>
    <w:rsid w:val="00535783"/>
    <w:rsid w:val="00546804"/>
    <w:rsid w:val="00551229"/>
    <w:rsid w:val="00554A35"/>
    <w:rsid w:val="0056431B"/>
    <w:rsid w:val="00567F5B"/>
    <w:rsid w:val="00570FCD"/>
    <w:rsid w:val="005810CF"/>
    <w:rsid w:val="005835A1"/>
    <w:rsid w:val="00590E63"/>
    <w:rsid w:val="0059220C"/>
    <w:rsid w:val="00592A7B"/>
    <w:rsid w:val="00593B70"/>
    <w:rsid w:val="005A3230"/>
    <w:rsid w:val="005A3326"/>
    <w:rsid w:val="005A7CC2"/>
    <w:rsid w:val="005B0D06"/>
    <w:rsid w:val="005B5439"/>
    <w:rsid w:val="005D0F04"/>
    <w:rsid w:val="005D3502"/>
    <w:rsid w:val="005D47B0"/>
    <w:rsid w:val="005D5978"/>
    <w:rsid w:val="005D7569"/>
    <w:rsid w:val="005E5228"/>
    <w:rsid w:val="005E5557"/>
    <w:rsid w:val="00605790"/>
    <w:rsid w:val="00614E59"/>
    <w:rsid w:val="006224E0"/>
    <w:rsid w:val="00632F53"/>
    <w:rsid w:val="00634E04"/>
    <w:rsid w:val="006365F1"/>
    <w:rsid w:val="00644D19"/>
    <w:rsid w:val="00646DA0"/>
    <w:rsid w:val="00653C24"/>
    <w:rsid w:val="00687DBF"/>
    <w:rsid w:val="006B43BA"/>
    <w:rsid w:val="006D1E88"/>
    <w:rsid w:val="006E1BDD"/>
    <w:rsid w:val="00702A4B"/>
    <w:rsid w:val="00702DB3"/>
    <w:rsid w:val="007135EB"/>
    <w:rsid w:val="0072756C"/>
    <w:rsid w:val="0074138C"/>
    <w:rsid w:val="00742086"/>
    <w:rsid w:val="007456B5"/>
    <w:rsid w:val="00747064"/>
    <w:rsid w:val="0074789B"/>
    <w:rsid w:val="00755D08"/>
    <w:rsid w:val="00761AC2"/>
    <w:rsid w:val="00776C7A"/>
    <w:rsid w:val="0078294B"/>
    <w:rsid w:val="007A27BD"/>
    <w:rsid w:val="007B371D"/>
    <w:rsid w:val="007C54BC"/>
    <w:rsid w:val="007D7CBC"/>
    <w:rsid w:val="007E0F8A"/>
    <w:rsid w:val="007F082D"/>
    <w:rsid w:val="007F2D1B"/>
    <w:rsid w:val="007F3EA3"/>
    <w:rsid w:val="007F73C1"/>
    <w:rsid w:val="007F78D7"/>
    <w:rsid w:val="008109D8"/>
    <w:rsid w:val="00820CFD"/>
    <w:rsid w:val="00823613"/>
    <w:rsid w:val="00830198"/>
    <w:rsid w:val="00831915"/>
    <w:rsid w:val="0084515F"/>
    <w:rsid w:val="00854451"/>
    <w:rsid w:val="00860480"/>
    <w:rsid w:val="00871DA3"/>
    <w:rsid w:val="008A2498"/>
    <w:rsid w:val="008B0AD8"/>
    <w:rsid w:val="008D11A0"/>
    <w:rsid w:val="008D1B50"/>
    <w:rsid w:val="008E38F8"/>
    <w:rsid w:val="008F0193"/>
    <w:rsid w:val="00920098"/>
    <w:rsid w:val="00933561"/>
    <w:rsid w:val="00951071"/>
    <w:rsid w:val="00955DDB"/>
    <w:rsid w:val="0096785A"/>
    <w:rsid w:val="0097530B"/>
    <w:rsid w:val="00977BE7"/>
    <w:rsid w:val="00991A74"/>
    <w:rsid w:val="009B08F3"/>
    <w:rsid w:val="009B4575"/>
    <w:rsid w:val="009C1239"/>
    <w:rsid w:val="009D08BE"/>
    <w:rsid w:val="009D5CA8"/>
    <w:rsid w:val="00A028AA"/>
    <w:rsid w:val="00A14079"/>
    <w:rsid w:val="00A30736"/>
    <w:rsid w:val="00A3146B"/>
    <w:rsid w:val="00A37FE8"/>
    <w:rsid w:val="00A42093"/>
    <w:rsid w:val="00A636CB"/>
    <w:rsid w:val="00A73185"/>
    <w:rsid w:val="00A766CD"/>
    <w:rsid w:val="00A9637E"/>
    <w:rsid w:val="00AA50D1"/>
    <w:rsid w:val="00AB5DD7"/>
    <w:rsid w:val="00AD675D"/>
    <w:rsid w:val="00AF1AD9"/>
    <w:rsid w:val="00AF3C02"/>
    <w:rsid w:val="00B03B3B"/>
    <w:rsid w:val="00B2359C"/>
    <w:rsid w:val="00B34446"/>
    <w:rsid w:val="00B56DA0"/>
    <w:rsid w:val="00B62373"/>
    <w:rsid w:val="00B633EA"/>
    <w:rsid w:val="00B74AA1"/>
    <w:rsid w:val="00B82750"/>
    <w:rsid w:val="00B87662"/>
    <w:rsid w:val="00B92589"/>
    <w:rsid w:val="00BB6CC2"/>
    <w:rsid w:val="00BD67E3"/>
    <w:rsid w:val="00BE3EF5"/>
    <w:rsid w:val="00C04CD1"/>
    <w:rsid w:val="00C07BC6"/>
    <w:rsid w:val="00C111EF"/>
    <w:rsid w:val="00C1584B"/>
    <w:rsid w:val="00C535DB"/>
    <w:rsid w:val="00C90FDC"/>
    <w:rsid w:val="00C910A7"/>
    <w:rsid w:val="00C91859"/>
    <w:rsid w:val="00CB0458"/>
    <w:rsid w:val="00CB44E6"/>
    <w:rsid w:val="00CC1726"/>
    <w:rsid w:val="00CC322A"/>
    <w:rsid w:val="00CE4D0D"/>
    <w:rsid w:val="00CE4E61"/>
    <w:rsid w:val="00CF37CE"/>
    <w:rsid w:val="00D1013F"/>
    <w:rsid w:val="00D16F30"/>
    <w:rsid w:val="00D238D9"/>
    <w:rsid w:val="00D23AB4"/>
    <w:rsid w:val="00D346A7"/>
    <w:rsid w:val="00D36304"/>
    <w:rsid w:val="00D43136"/>
    <w:rsid w:val="00D469AC"/>
    <w:rsid w:val="00D54D7E"/>
    <w:rsid w:val="00D5626F"/>
    <w:rsid w:val="00D60966"/>
    <w:rsid w:val="00D82165"/>
    <w:rsid w:val="00D87EF7"/>
    <w:rsid w:val="00D93225"/>
    <w:rsid w:val="00DB5245"/>
    <w:rsid w:val="00DC068D"/>
    <w:rsid w:val="00DC1EF1"/>
    <w:rsid w:val="00DC61F1"/>
    <w:rsid w:val="00DE58BB"/>
    <w:rsid w:val="00E02BF7"/>
    <w:rsid w:val="00E03C1C"/>
    <w:rsid w:val="00E05817"/>
    <w:rsid w:val="00E173BA"/>
    <w:rsid w:val="00E20C2D"/>
    <w:rsid w:val="00E217F9"/>
    <w:rsid w:val="00E21C83"/>
    <w:rsid w:val="00E402DA"/>
    <w:rsid w:val="00E447B2"/>
    <w:rsid w:val="00E822F7"/>
    <w:rsid w:val="00E843F3"/>
    <w:rsid w:val="00E864B4"/>
    <w:rsid w:val="00E942D3"/>
    <w:rsid w:val="00EA0851"/>
    <w:rsid w:val="00EB35E7"/>
    <w:rsid w:val="00EB45A3"/>
    <w:rsid w:val="00EB4D42"/>
    <w:rsid w:val="00EB77AE"/>
    <w:rsid w:val="00EC0FF4"/>
    <w:rsid w:val="00ED1F46"/>
    <w:rsid w:val="00ED47FF"/>
    <w:rsid w:val="00EE7E6F"/>
    <w:rsid w:val="00EF5FC9"/>
    <w:rsid w:val="00F01984"/>
    <w:rsid w:val="00F0422C"/>
    <w:rsid w:val="00F05F74"/>
    <w:rsid w:val="00F06ACE"/>
    <w:rsid w:val="00F07F79"/>
    <w:rsid w:val="00F1343E"/>
    <w:rsid w:val="00F20243"/>
    <w:rsid w:val="00F246C0"/>
    <w:rsid w:val="00F24A53"/>
    <w:rsid w:val="00F3360A"/>
    <w:rsid w:val="00F51A91"/>
    <w:rsid w:val="00F81D71"/>
    <w:rsid w:val="00F847DA"/>
    <w:rsid w:val="00F91935"/>
    <w:rsid w:val="00FA2683"/>
    <w:rsid w:val="00FA4A8F"/>
    <w:rsid w:val="00FA6CF0"/>
    <w:rsid w:val="00FC4A18"/>
    <w:rsid w:val="00FD0ACE"/>
    <w:rsid w:val="00FD2126"/>
    <w:rsid w:val="04AD3917"/>
    <w:rsid w:val="19DB32C6"/>
    <w:rsid w:val="1B496366"/>
    <w:rsid w:val="225438FF"/>
    <w:rsid w:val="29682DB1"/>
    <w:rsid w:val="30AA7F16"/>
    <w:rsid w:val="31CA64A9"/>
    <w:rsid w:val="3691712C"/>
    <w:rsid w:val="3FBF2405"/>
    <w:rsid w:val="44747CC9"/>
    <w:rsid w:val="47F06A46"/>
    <w:rsid w:val="49D075AA"/>
    <w:rsid w:val="4B06409F"/>
    <w:rsid w:val="57EF65BA"/>
    <w:rsid w:val="67D035F9"/>
    <w:rsid w:val="70A303F8"/>
    <w:rsid w:val="766C12BC"/>
    <w:rsid w:val="7BA57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0"/>
    <w:pPr>
      <w:widowControl/>
      <w:spacing w:before="100" w:beforeAutospacing="1" w:after="100" w:afterAutospacing="1"/>
      <w:jc w:val="left"/>
    </w:pPr>
    <w:rPr>
      <w:rFonts w:ascii="宋体" w:hAnsi="宋体"/>
      <w:kern w:val="0"/>
      <w:sz w:val="24"/>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1"/>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Char"/>
    <w:basedOn w:val="1"/>
    <w:qFormat/>
    <w:uiPriority w:val="0"/>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1091</Words>
  <Characters>677</Characters>
  <Lines>5</Lines>
  <Paragraphs>3</Paragraphs>
  <TotalTime>40</TotalTime>
  <ScaleCrop>false</ScaleCrop>
  <LinksUpToDate>false</LinksUpToDate>
  <CharactersWithSpaces>1765</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2020-11-25T02:08:00Z</dcterms:created>
  <dc:creator>beyond</dc:creator>
  <cp:lastModifiedBy>user</cp:lastModifiedBy>
  <cp:lastPrinted>2014-06-12T12:22:00Z</cp:lastPrinted>
  <dcterms:modified xsi:type="dcterms:W3CDTF">2021-12-17T07:03:21Z</dcterms:modified>
  <dc:title>杭州商学院2011/2012学年第二学期毕业班重修试卷（B）</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767ECCCFBEEF4A10B7E2BF6156BA870C</vt:lpwstr>
  </property>
</Properties>
</file>