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A59AC5">
      <w:pPr>
        <w:spacing w:line="320" w:lineRule="exact"/>
        <w:ind w:firstLine="2811" w:firstLineChars="1000"/>
        <w:rPr>
          <w:rFonts w:hint="eastAsia" w:eastAsiaTheme="minorEastAsia"/>
          <w:b/>
          <w:bCs/>
          <w:sz w:val="28"/>
          <w:szCs w:val="36"/>
          <w:lang w:val="en-US" w:eastAsia="zh-CN"/>
        </w:rPr>
      </w:pPr>
      <w:r>
        <w:rPr>
          <w:rFonts w:hint="eastAsia" w:eastAsiaTheme="minorEastAsia"/>
          <w:b/>
          <w:bCs/>
          <w:sz w:val="28"/>
          <w:szCs w:val="36"/>
          <w:lang w:val="en-US" w:eastAsia="zh-CN"/>
        </w:rPr>
        <w:t>财务管理复习资料</w:t>
      </w:r>
    </w:p>
    <w:p w14:paraId="6212427D">
      <w:pPr>
        <w:spacing w:line="320" w:lineRule="exact"/>
        <w:rPr>
          <w:rFonts w:asciiTheme="minorEastAsia" w:hAnsiTheme="minorEastAsia" w:eastAsiaTheme="minorEastAsia"/>
          <w:b/>
          <w:color w:val="000000"/>
          <w:szCs w:val="21"/>
        </w:rPr>
      </w:pPr>
      <w:r>
        <w:rPr>
          <w:rFonts w:hint="eastAsia" w:asciiTheme="minorEastAsia" w:hAnsiTheme="minorEastAsia" w:eastAsiaTheme="minorEastAsia"/>
          <w:b/>
          <w:color w:val="000000"/>
          <w:szCs w:val="21"/>
        </w:rPr>
        <w:t>一、单项选择题</w:t>
      </w:r>
    </w:p>
    <w:p w14:paraId="2186273B">
      <w:pPr>
        <w:rPr>
          <w:rFonts w:hint="eastAsia" w:ascii="宋体" w:hAnsi="宋体" w:eastAsia="宋体" w:cs="宋体"/>
        </w:rPr>
      </w:pPr>
      <w:r>
        <w:rPr>
          <w:rFonts w:hint="eastAsia" w:ascii="宋体" w:hAnsi="宋体" w:eastAsia="宋体" w:cs="宋体"/>
        </w:rPr>
        <w:t>1．企业与所有者的财务关系，性质上是什么。（    ）</w:t>
      </w:r>
    </w:p>
    <w:p w14:paraId="5C2EC4A1">
      <w:pPr>
        <w:ind w:left="210" w:leftChars="100"/>
        <w:rPr>
          <w:rFonts w:hint="eastAsia" w:ascii="宋体" w:hAnsi="宋体" w:eastAsia="宋体" w:cs="宋体"/>
        </w:rPr>
      </w:pPr>
      <w:r>
        <w:rPr>
          <w:rFonts w:hint="eastAsia" w:ascii="宋体" w:hAnsi="宋体" w:eastAsia="宋体" w:cs="宋体"/>
        </w:rPr>
        <w:t>A、投资关系        B、所有权关系       C、债权债务关系    D、经营权关系</w:t>
      </w:r>
    </w:p>
    <w:p w14:paraId="10569F51">
      <w:pPr>
        <w:rPr>
          <w:rFonts w:hint="eastAsia" w:ascii="宋体" w:hAnsi="宋体" w:eastAsia="宋体" w:cs="宋体"/>
        </w:rPr>
      </w:pPr>
      <w:r>
        <w:rPr>
          <w:rFonts w:hint="eastAsia" w:ascii="宋体" w:hAnsi="宋体" w:eastAsia="宋体" w:cs="宋体"/>
        </w:rPr>
        <w:t>2．一定时期内，开始若干期没有收付款项，以后每期期末有等额收付款项的年金是什么。（    ）</w:t>
      </w:r>
    </w:p>
    <w:p w14:paraId="3C3C7E83">
      <w:pPr>
        <w:ind w:firstLine="210" w:firstLineChars="100"/>
        <w:rPr>
          <w:rFonts w:hint="eastAsia" w:ascii="宋体" w:hAnsi="宋体" w:eastAsia="宋体" w:cs="宋体"/>
        </w:rPr>
      </w:pPr>
      <w:r>
        <w:rPr>
          <w:rFonts w:hint="eastAsia" w:ascii="宋体" w:hAnsi="宋体" w:eastAsia="宋体" w:cs="宋体"/>
        </w:rPr>
        <w:t>A、普通年金        B、预付年金         C、递延年金        D、永续年金</w:t>
      </w:r>
    </w:p>
    <w:p w14:paraId="2A196355">
      <w:pPr>
        <w:rPr>
          <w:rFonts w:hint="eastAsia" w:ascii="宋体" w:hAnsi="宋体" w:eastAsia="宋体" w:cs="宋体"/>
        </w:rPr>
      </w:pPr>
      <w:r>
        <w:rPr>
          <w:rFonts w:hint="eastAsia" w:ascii="宋体" w:hAnsi="宋体" w:eastAsia="宋体" w:cs="宋体"/>
        </w:rPr>
        <w:t>3．甲乙两方案投资收益率的期望值不同，甲方案的标准离差率是44%，乙方案的标准离差率是66%，下列关于两个方案风险大小的比较，哪项正确。（    ）</w:t>
      </w:r>
    </w:p>
    <w:p w14:paraId="1903EAD3">
      <w:pPr>
        <w:ind w:firstLine="210" w:firstLineChars="100"/>
        <w:rPr>
          <w:rFonts w:hint="eastAsia" w:ascii="宋体" w:hAnsi="宋体" w:eastAsia="宋体" w:cs="宋体"/>
        </w:rPr>
      </w:pPr>
      <w:r>
        <w:rPr>
          <w:rFonts w:hint="eastAsia" w:ascii="宋体" w:hAnsi="宋体" w:eastAsia="宋体" w:cs="宋体"/>
        </w:rPr>
        <w:t>A、甲大于乙           B、甲小于乙      C、甲乙相等       D、无法确定</w:t>
      </w:r>
    </w:p>
    <w:p w14:paraId="2209E7F2">
      <w:pPr>
        <w:rPr>
          <w:rFonts w:hint="eastAsia" w:ascii="宋体" w:hAnsi="宋体" w:eastAsia="宋体" w:cs="宋体"/>
        </w:rPr>
      </w:pPr>
      <w:r>
        <w:rPr>
          <w:rFonts w:hint="eastAsia" w:ascii="宋体" w:hAnsi="宋体" w:eastAsia="宋体" w:cs="宋体"/>
        </w:rPr>
        <w:t>4．杜邦财务分析系统的核心指标是什么。（    ）</w:t>
      </w:r>
    </w:p>
    <w:p w14:paraId="067277A2">
      <w:pPr>
        <w:ind w:left="210" w:leftChars="100"/>
        <w:rPr>
          <w:rFonts w:hint="eastAsia" w:ascii="宋体" w:hAnsi="宋体" w:eastAsia="宋体" w:cs="宋体"/>
        </w:rPr>
      </w:pPr>
      <w:r>
        <w:rPr>
          <w:rFonts w:hint="eastAsia" w:ascii="宋体" w:hAnsi="宋体" w:eastAsia="宋体" w:cs="宋体"/>
        </w:rPr>
        <w:t>A、净资产收益率       B、总资产周转率  C、销售净利率     D、资产净利润率</w:t>
      </w:r>
    </w:p>
    <w:p w14:paraId="764D5C05">
      <w:pPr>
        <w:rPr>
          <w:rFonts w:hint="eastAsia" w:ascii="宋体" w:hAnsi="宋体" w:eastAsia="宋体" w:cs="宋体"/>
        </w:rPr>
      </w:pPr>
      <w:r>
        <w:rPr>
          <w:rFonts w:hint="eastAsia" w:ascii="宋体" w:hAnsi="宋体" w:eastAsia="宋体" w:cs="宋体"/>
        </w:rPr>
        <w:t>5．几乎不发生筹资费用的筹资方式是什么。（    ）</w:t>
      </w:r>
    </w:p>
    <w:p w14:paraId="401B6634">
      <w:pPr>
        <w:ind w:left="210" w:leftChars="100"/>
        <w:rPr>
          <w:rFonts w:hint="eastAsia" w:ascii="宋体" w:hAnsi="宋体" w:eastAsia="宋体" w:cs="宋体"/>
        </w:rPr>
      </w:pPr>
      <w:r>
        <w:rPr>
          <w:rFonts w:hint="eastAsia" w:ascii="宋体" w:hAnsi="宋体" w:eastAsia="宋体" w:cs="宋体"/>
        </w:rPr>
        <w:t>A、商业信用           B、融资租赁      C、吸收直接投资  D、留存收益</w:t>
      </w:r>
    </w:p>
    <w:p w14:paraId="11862373">
      <w:pPr>
        <w:rPr>
          <w:rFonts w:hint="eastAsia" w:ascii="宋体" w:hAnsi="宋体" w:eastAsia="宋体" w:cs="宋体"/>
        </w:rPr>
      </w:pPr>
      <w:r>
        <w:rPr>
          <w:rFonts w:hint="eastAsia" w:ascii="宋体" w:hAnsi="宋体" w:eastAsia="宋体" w:cs="宋体"/>
        </w:rPr>
        <w:t>6．发行债券，如果市场利率高于债券票面利率，则发行价格与面值两者大小的关系是。（    ）</w:t>
      </w:r>
    </w:p>
    <w:p w14:paraId="0B664981">
      <w:pPr>
        <w:ind w:left="210" w:leftChars="100"/>
        <w:rPr>
          <w:rFonts w:hint="eastAsia" w:ascii="宋体" w:hAnsi="宋体" w:eastAsia="宋体" w:cs="宋体"/>
        </w:rPr>
      </w:pPr>
      <w:r>
        <w:rPr>
          <w:rFonts w:hint="eastAsia" w:ascii="宋体" w:hAnsi="宋体" w:eastAsia="宋体" w:cs="宋体"/>
        </w:rPr>
        <w:t>A、高于               B、低于          C、等于          D、无法比较</w:t>
      </w:r>
    </w:p>
    <w:p w14:paraId="2F2C2199">
      <w:pPr>
        <w:rPr>
          <w:rFonts w:hint="eastAsia" w:ascii="宋体" w:hAnsi="宋体" w:eastAsia="宋体" w:cs="宋体"/>
        </w:rPr>
      </w:pPr>
      <w:r>
        <w:rPr>
          <w:rFonts w:hint="eastAsia" w:ascii="宋体" w:hAnsi="宋体" w:eastAsia="宋体" w:cs="宋体"/>
        </w:rPr>
        <w:t>7．产生经营杠杆作用的主要原因是什么。（    ）</w:t>
      </w:r>
    </w:p>
    <w:p w14:paraId="744D8592">
      <w:pPr>
        <w:ind w:left="210" w:leftChars="100"/>
        <w:rPr>
          <w:rFonts w:hint="eastAsia" w:ascii="宋体" w:hAnsi="宋体" w:eastAsia="宋体" w:cs="宋体"/>
        </w:rPr>
      </w:pPr>
      <w:r>
        <w:rPr>
          <w:rFonts w:hint="eastAsia" w:ascii="宋体" w:hAnsi="宋体" w:eastAsia="宋体" w:cs="宋体"/>
        </w:rPr>
        <w:t>A、经营成本中固定成本总额不变           B、经营成本中单位变动成本不变</w:t>
      </w:r>
    </w:p>
    <w:p w14:paraId="6A9AA537">
      <w:pPr>
        <w:ind w:left="210" w:leftChars="100"/>
        <w:rPr>
          <w:rFonts w:hint="eastAsia" w:ascii="宋体" w:hAnsi="宋体" w:eastAsia="宋体" w:cs="宋体"/>
        </w:rPr>
      </w:pPr>
      <w:r>
        <w:rPr>
          <w:rFonts w:hint="eastAsia" w:ascii="宋体" w:hAnsi="宋体" w:eastAsia="宋体" w:cs="宋体"/>
        </w:rPr>
        <w:t>C、资本结构中利息费用不变               D、产销规模不变</w:t>
      </w:r>
    </w:p>
    <w:p w14:paraId="133D0C34">
      <w:pPr>
        <w:tabs>
          <w:tab w:val="left" w:pos="4253"/>
        </w:tabs>
        <w:rPr>
          <w:rFonts w:ascii="宋体" w:hAnsi="宋体"/>
          <w:color w:val="000000"/>
          <w:szCs w:val="21"/>
        </w:rPr>
      </w:pPr>
      <w:r>
        <w:rPr>
          <w:rFonts w:hint="eastAsia" w:ascii="宋体" w:hAnsi="宋体"/>
          <w:color w:val="000000"/>
          <w:szCs w:val="21"/>
          <w:lang w:val="en-US" w:eastAsia="zh-CN"/>
        </w:rPr>
        <w:t>8</w:t>
      </w:r>
      <w:r>
        <w:rPr>
          <w:rFonts w:hint="eastAsia" w:ascii="宋体" w:hAnsi="宋体"/>
          <w:color w:val="000000"/>
          <w:szCs w:val="21"/>
        </w:rPr>
        <w:t xml:space="preserve">.下列选项中，不属于长期偿债能力的财务比率是（ </w:t>
      </w:r>
      <w:r>
        <w:rPr>
          <w:rFonts w:ascii="宋体" w:hAnsi="宋体"/>
          <w:color w:val="000000"/>
          <w:szCs w:val="21"/>
        </w:rPr>
        <w:t xml:space="preserve">    </w:t>
      </w:r>
      <w:r>
        <w:rPr>
          <w:rFonts w:hint="eastAsia" w:ascii="宋体" w:hAnsi="宋体"/>
          <w:color w:val="000000"/>
          <w:szCs w:val="21"/>
        </w:rPr>
        <w:t>）</w:t>
      </w:r>
    </w:p>
    <w:p w14:paraId="796E1751">
      <w:pPr>
        <w:tabs>
          <w:tab w:val="left" w:pos="4253"/>
        </w:tabs>
        <w:rPr>
          <w:rFonts w:ascii="宋体" w:hAnsi="宋体"/>
          <w:color w:val="000000"/>
          <w:szCs w:val="21"/>
        </w:rPr>
      </w:pPr>
      <w:r>
        <w:rPr>
          <w:rFonts w:hint="eastAsia" w:ascii="宋体" w:hAnsi="宋体"/>
          <w:color w:val="000000"/>
          <w:szCs w:val="21"/>
        </w:rPr>
        <w:t>A.存货周转率</w:t>
      </w:r>
      <w:r>
        <w:rPr>
          <w:rFonts w:ascii="宋体" w:hAnsi="宋体"/>
          <w:color w:val="000000"/>
          <w:szCs w:val="21"/>
        </w:rPr>
        <w:t xml:space="preserve">   </w:t>
      </w:r>
      <w:r>
        <w:rPr>
          <w:rFonts w:hint="eastAsia" w:ascii="宋体" w:hAnsi="宋体"/>
          <w:color w:val="000000"/>
          <w:szCs w:val="21"/>
        </w:rPr>
        <w:t xml:space="preserve">B.产权比率 </w:t>
      </w:r>
      <w:r>
        <w:rPr>
          <w:rFonts w:ascii="宋体" w:hAnsi="宋体"/>
          <w:color w:val="000000"/>
          <w:szCs w:val="21"/>
        </w:rPr>
        <w:t xml:space="preserve">  </w:t>
      </w:r>
      <w:r>
        <w:rPr>
          <w:rFonts w:hint="eastAsia" w:ascii="宋体" w:hAnsi="宋体"/>
          <w:color w:val="000000"/>
          <w:szCs w:val="21"/>
        </w:rPr>
        <w:t>C.资产负债率</w:t>
      </w:r>
      <w:r>
        <w:rPr>
          <w:rFonts w:hint="eastAsia" w:ascii="宋体" w:hAnsi="宋体"/>
          <w:color w:val="000000"/>
          <w:szCs w:val="21"/>
        </w:rPr>
        <w:tab/>
      </w:r>
      <w:r>
        <w:rPr>
          <w:rFonts w:hint="eastAsia" w:ascii="宋体" w:hAnsi="宋体"/>
          <w:color w:val="000000"/>
          <w:szCs w:val="21"/>
        </w:rPr>
        <w:t>D.利息保障倍数</w:t>
      </w:r>
    </w:p>
    <w:p w14:paraId="40F58728">
      <w:pPr>
        <w:tabs>
          <w:tab w:val="left" w:pos="4253"/>
        </w:tabs>
        <w:rPr>
          <w:rFonts w:ascii="宋体" w:hAnsi="宋体"/>
          <w:color w:val="000000"/>
          <w:szCs w:val="21"/>
        </w:rPr>
      </w:pPr>
      <w:r>
        <w:rPr>
          <w:rFonts w:hint="eastAsia" w:ascii="宋体" w:hAnsi="宋体"/>
          <w:color w:val="000000"/>
          <w:szCs w:val="21"/>
          <w:lang w:val="en-US" w:eastAsia="zh-CN"/>
        </w:rPr>
        <w:t>9</w:t>
      </w:r>
      <w:r>
        <w:rPr>
          <w:rFonts w:hint="eastAsia" w:ascii="宋体" w:hAnsi="宋体"/>
          <w:color w:val="000000"/>
          <w:szCs w:val="21"/>
        </w:rPr>
        <w:t xml:space="preserve">.A公司年营业收入为1000万元，年营业成本为800万元，存货平均余额为400万元，则存货周转率是（ </w:t>
      </w:r>
      <w:r>
        <w:rPr>
          <w:rFonts w:ascii="宋体" w:hAnsi="宋体"/>
          <w:color w:val="000000"/>
          <w:szCs w:val="21"/>
        </w:rPr>
        <w:t xml:space="preserve">    </w:t>
      </w:r>
      <w:r>
        <w:rPr>
          <w:rFonts w:hint="eastAsia" w:ascii="宋体" w:hAnsi="宋体"/>
          <w:color w:val="000000"/>
          <w:szCs w:val="21"/>
        </w:rPr>
        <w:t>）</w:t>
      </w:r>
    </w:p>
    <w:p w14:paraId="70332A6F">
      <w:pPr>
        <w:tabs>
          <w:tab w:val="left" w:pos="4253"/>
        </w:tabs>
        <w:rPr>
          <w:rFonts w:ascii="宋体" w:hAnsi="宋体"/>
          <w:color w:val="000000"/>
          <w:szCs w:val="21"/>
        </w:rPr>
      </w:pPr>
      <w:r>
        <w:rPr>
          <w:rFonts w:hint="eastAsia" w:ascii="宋体" w:hAnsi="宋体"/>
          <w:color w:val="000000"/>
          <w:szCs w:val="21"/>
        </w:rPr>
        <w:t xml:space="preserve">A.1.2次 </w:t>
      </w:r>
      <w:r>
        <w:rPr>
          <w:rFonts w:ascii="宋体" w:hAnsi="宋体"/>
          <w:color w:val="000000"/>
          <w:szCs w:val="21"/>
        </w:rPr>
        <w:t xml:space="preserve">    </w:t>
      </w:r>
      <w:r>
        <w:rPr>
          <w:rFonts w:hint="eastAsia" w:ascii="宋体" w:hAnsi="宋体"/>
          <w:color w:val="000000"/>
          <w:szCs w:val="21"/>
        </w:rPr>
        <w:t xml:space="preserve">B.1.25次 </w:t>
      </w:r>
      <w:r>
        <w:rPr>
          <w:rFonts w:ascii="宋体" w:hAnsi="宋体"/>
          <w:color w:val="000000"/>
          <w:szCs w:val="21"/>
        </w:rPr>
        <w:t xml:space="preserve">   </w:t>
      </w:r>
      <w:r>
        <w:rPr>
          <w:rFonts w:hint="eastAsia" w:ascii="宋体" w:hAnsi="宋体"/>
          <w:color w:val="000000"/>
          <w:szCs w:val="21"/>
        </w:rPr>
        <w:t>C.2次</w:t>
      </w:r>
      <w:r>
        <w:rPr>
          <w:rFonts w:hint="eastAsia" w:ascii="宋体" w:hAnsi="宋体"/>
          <w:color w:val="000000"/>
          <w:szCs w:val="21"/>
        </w:rPr>
        <w:tab/>
      </w:r>
      <w:r>
        <w:rPr>
          <w:rFonts w:hint="eastAsia" w:ascii="宋体" w:hAnsi="宋体"/>
          <w:color w:val="000000"/>
          <w:szCs w:val="21"/>
        </w:rPr>
        <w:t>D.2.5次</w:t>
      </w:r>
    </w:p>
    <w:p w14:paraId="6F8F12B1">
      <w:pPr>
        <w:tabs>
          <w:tab w:val="left" w:pos="4253"/>
        </w:tabs>
        <w:rPr>
          <w:rFonts w:ascii="宋体" w:hAnsi="宋体"/>
          <w:color w:val="000000"/>
          <w:szCs w:val="21"/>
        </w:rPr>
      </w:pPr>
      <w:r>
        <w:rPr>
          <w:rFonts w:hint="eastAsia" w:ascii="宋体" w:hAnsi="宋体"/>
          <w:color w:val="000000"/>
          <w:szCs w:val="21"/>
          <w:lang w:val="en-US" w:eastAsia="zh-CN"/>
        </w:rPr>
        <w:t>10</w:t>
      </w:r>
      <w:r>
        <w:rPr>
          <w:rFonts w:hint="eastAsia" w:ascii="宋体" w:hAnsi="宋体"/>
          <w:color w:val="000000"/>
          <w:szCs w:val="21"/>
        </w:rPr>
        <w:t xml:space="preserve">.与经营租赁相比，下列属于融资租赁特点的是（ </w:t>
      </w:r>
      <w:r>
        <w:rPr>
          <w:rFonts w:ascii="宋体" w:hAnsi="宋体"/>
          <w:color w:val="000000"/>
          <w:szCs w:val="21"/>
        </w:rPr>
        <w:t xml:space="preserve">     </w:t>
      </w:r>
      <w:r>
        <w:rPr>
          <w:rFonts w:hint="eastAsia" w:ascii="宋体" w:hAnsi="宋体"/>
          <w:color w:val="000000"/>
          <w:szCs w:val="21"/>
        </w:rPr>
        <w:t>）</w:t>
      </w:r>
    </w:p>
    <w:p w14:paraId="6DC37BD4">
      <w:pPr>
        <w:tabs>
          <w:tab w:val="left" w:pos="4253"/>
        </w:tabs>
        <w:rPr>
          <w:rFonts w:ascii="宋体" w:hAnsi="宋体"/>
          <w:color w:val="000000"/>
          <w:szCs w:val="21"/>
        </w:rPr>
      </w:pPr>
      <w:r>
        <w:rPr>
          <w:rFonts w:hint="eastAsia" w:ascii="宋体" w:hAnsi="宋体"/>
          <w:color w:val="000000"/>
          <w:szCs w:val="21"/>
        </w:rPr>
        <w:t>A.出租人一般不提供对租赁设备的维修与保养服务</w:t>
      </w:r>
      <w:r>
        <w:rPr>
          <w:rFonts w:hint="eastAsia" w:ascii="宋体" w:hAnsi="宋体"/>
          <w:color w:val="000000"/>
          <w:szCs w:val="21"/>
        </w:rPr>
        <w:tab/>
      </w:r>
      <w:r>
        <w:rPr>
          <w:rFonts w:hint="eastAsia" w:ascii="宋体" w:hAnsi="宋体"/>
          <w:color w:val="000000"/>
          <w:szCs w:val="21"/>
        </w:rPr>
        <w:t>B.租赁合同不稳定</w:t>
      </w:r>
    </w:p>
    <w:p w14:paraId="76537D47">
      <w:pPr>
        <w:tabs>
          <w:tab w:val="left" w:pos="5100"/>
        </w:tabs>
        <w:rPr>
          <w:rFonts w:ascii="宋体" w:hAnsi="宋体"/>
          <w:color w:val="000000"/>
          <w:szCs w:val="21"/>
        </w:rPr>
      </w:pPr>
      <w:r>
        <w:rPr>
          <w:rFonts w:hint="eastAsia" w:ascii="宋体" w:hAnsi="宋体"/>
          <w:color w:val="000000"/>
          <w:szCs w:val="21"/>
        </w:rPr>
        <w:t>C.不涉及长期而固定的义务</w:t>
      </w:r>
      <w:r>
        <w:rPr>
          <w:rFonts w:hint="eastAsia" w:ascii="宋体" w:hAnsi="宋体"/>
          <w:color w:val="000000"/>
          <w:szCs w:val="21"/>
        </w:rPr>
        <w:tab/>
      </w:r>
      <w:r>
        <w:rPr>
          <w:rFonts w:hint="eastAsia" w:ascii="宋体" w:hAnsi="宋体"/>
          <w:color w:val="000000"/>
          <w:szCs w:val="21"/>
        </w:rPr>
        <w:t>D. 租赁去较短</w:t>
      </w:r>
    </w:p>
    <w:p w14:paraId="4BEF69D4">
      <w:pPr>
        <w:tabs>
          <w:tab w:val="left" w:pos="4253"/>
        </w:tabs>
        <w:rPr>
          <w:rFonts w:ascii="宋体" w:hAnsi="宋体"/>
          <w:color w:val="000000"/>
          <w:szCs w:val="21"/>
        </w:rPr>
      </w:pPr>
      <w:r>
        <w:rPr>
          <w:rFonts w:hint="eastAsia" w:ascii="宋体" w:hAnsi="宋体"/>
          <w:color w:val="000000"/>
          <w:szCs w:val="21"/>
          <w:lang w:val="en-US" w:eastAsia="zh-CN"/>
        </w:rPr>
        <w:t>11</w:t>
      </w:r>
      <w:r>
        <w:rPr>
          <w:rFonts w:ascii="宋体" w:hAnsi="宋体"/>
          <w:color w:val="000000"/>
          <w:szCs w:val="21"/>
        </w:rPr>
        <w:t>.</w:t>
      </w:r>
      <w:r>
        <w:rPr>
          <w:rFonts w:hint="eastAsia" w:ascii="宋体" w:hAnsi="宋体"/>
          <w:color w:val="000000"/>
          <w:szCs w:val="21"/>
        </w:rPr>
        <w:t xml:space="preserve">下列关于经营杠杆的表述，正确的是（ </w:t>
      </w:r>
      <w:r>
        <w:rPr>
          <w:rFonts w:ascii="宋体" w:hAnsi="宋体"/>
          <w:color w:val="000000"/>
          <w:szCs w:val="21"/>
        </w:rPr>
        <w:t xml:space="preserve">     </w:t>
      </w:r>
      <w:r>
        <w:rPr>
          <w:rFonts w:hint="eastAsia" w:ascii="宋体" w:hAnsi="宋体"/>
          <w:color w:val="000000"/>
          <w:szCs w:val="21"/>
        </w:rPr>
        <w:t>）</w:t>
      </w:r>
    </w:p>
    <w:p w14:paraId="173A23C2">
      <w:pPr>
        <w:tabs>
          <w:tab w:val="left" w:pos="4253"/>
        </w:tabs>
        <w:rPr>
          <w:rFonts w:ascii="宋体" w:hAnsi="宋体"/>
          <w:color w:val="000000"/>
          <w:szCs w:val="21"/>
        </w:rPr>
      </w:pPr>
      <w:r>
        <w:rPr>
          <w:rFonts w:hint="eastAsia" w:ascii="宋体" w:hAnsi="宋体"/>
          <w:color w:val="000000"/>
          <w:szCs w:val="21"/>
        </w:rPr>
        <w:t xml:space="preserve">A.经营杠杆不影响息税前利息 </w:t>
      </w:r>
      <w:r>
        <w:rPr>
          <w:rFonts w:ascii="宋体" w:hAnsi="宋体"/>
          <w:color w:val="000000"/>
          <w:szCs w:val="21"/>
        </w:rPr>
        <w:t xml:space="preserve">               </w:t>
      </w:r>
      <w:r>
        <w:rPr>
          <w:rFonts w:hint="eastAsia" w:ascii="宋体" w:hAnsi="宋体"/>
          <w:color w:val="000000"/>
          <w:szCs w:val="21"/>
        </w:rPr>
        <w:t>B.经营杠杆的大小用财务杠杆系数来衡量</w:t>
      </w:r>
    </w:p>
    <w:p w14:paraId="08D65064">
      <w:pPr>
        <w:tabs>
          <w:tab w:val="left" w:pos="4253"/>
        </w:tabs>
        <w:rPr>
          <w:rFonts w:ascii="宋体" w:hAnsi="宋体"/>
          <w:color w:val="000000"/>
          <w:szCs w:val="21"/>
        </w:rPr>
      </w:pPr>
      <w:r>
        <w:rPr>
          <w:rFonts w:hint="eastAsia" w:ascii="宋体" w:hAnsi="宋体"/>
          <w:color w:val="000000"/>
          <w:szCs w:val="21"/>
        </w:rPr>
        <w:t xml:space="preserve">C.只要存在固定成本，就存在经营杠杆作用 </w:t>
      </w:r>
      <w:r>
        <w:rPr>
          <w:rFonts w:ascii="宋体" w:hAnsi="宋体"/>
          <w:color w:val="000000"/>
          <w:szCs w:val="21"/>
        </w:rPr>
        <w:t xml:space="preserve">   </w:t>
      </w:r>
      <w:r>
        <w:rPr>
          <w:rFonts w:hint="eastAsia" w:ascii="宋体" w:hAnsi="宋体"/>
          <w:color w:val="000000"/>
          <w:szCs w:val="21"/>
        </w:rPr>
        <w:t>D.只要存在固定成本，经营杠杆一定等于1</w:t>
      </w:r>
    </w:p>
    <w:p w14:paraId="3AE16689">
      <w:pPr>
        <w:tabs>
          <w:tab w:val="left" w:pos="4253"/>
        </w:tabs>
        <w:rPr>
          <w:rFonts w:ascii="宋体" w:hAnsi="宋体"/>
          <w:color w:val="000000"/>
          <w:szCs w:val="21"/>
        </w:rPr>
      </w:pPr>
      <w:r>
        <w:rPr>
          <w:rFonts w:hint="eastAsia" w:ascii="宋体" w:hAnsi="宋体"/>
          <w:color w:val="000000"/>
          <w:szCs w:val="21"/>
          <w:lang w:val="en-US" w:eastAsia="zh-CN"/>
        </w:rPr>
        <w:t>12</w:t>
      </w:r>
      <w:r>
        <w:rPr>
          <w:rFonts w:hint="eastAsia" w:ascii="宋体" w:hAnsi="宋体"/>
          <w:color w:val="000000"/>
          <w:szCs w:val="21"/>
        </w:rPr>
        <w:t xml:space="preserve">.利用比较资本成本法进行最有资本结构决策的判断标准是（ </w:t>
      </w:r>
      <w:r>
        <w:rPr>
          <w:rFonts w:ascii="宋体" w:hAnsi="宋体"/>
          <w:color w:val="000000"/>
          <w:szCs w:val="21"/>
        </w:rPr>
        <w:t xml:space="preserve">      </w:t>
      </w:r>
      <w:r>
        <w:rPr>
          <w:rFonts w:hint="eastAsia" w:ascii="宋体" w:hAnsi="宋体"/>
          <w:color w:val="000000"/>
          <w:szCs w:val="21"/>
        </w:rPr>
        <w:t>）</w:t>
      </w:r>
    </w:p>
    <w:p w14:paraId="7600D1B1">
      <w:pPr>
        <w:tabs>
          <w:tab w:val="left" w:pos="4253"/>
        </w:tabs>
        <w:rPr>
          <w:rFonts w:ascii="宋体" w:hAnsi="宋体"/>
          <w:color w:val="000000"/>
          <w:szCs w:val="21"/>
        </w:rPr>
      </w:pPr>
      <w:r>
        <w:rPr>
          <w:rFonts w:hint="eastAsia" w:ascii="宋体" w:hAnsi="宋体"/>
          <w:color w:val="000000"/>
          <w:szCs w:val="21"/>
        </w:rPr>
        <w:t xml:space="preserve">A.目标利润最大 </w:t>
      </w:r>
      <w:r>
        <w:rPr>
          <w:rFonts w:ascii="宋体" w:hAnsi="宋体"/>
          <w:color w:val="000000"/>
          <w:szCs w:val="21"/>
        </w:rPr>
        <w:t xml:space="preserve">   </w:t>
      </w:r>
      <w:r>
        <w:rPr>
          <w:rFonts w:hint="eastAsia" w:ascii="宋体" w:hAnsi="宋体"/>
          <w:color w:val="000000"/>
          <w:szCs w:val="21"/>
        </w:rPr>
        <w:t xml:space="preserve">B.每股收益最大 </w:t>
      </w:r>
      <w:r>
        <w:rPr>
          <w:rFonts w:ascii="宋体" w:hAnsi="宋体"/>
          <w:color w:val="000000"/>
          <w:szCs w:val="21"/>
        </w:rPr>
        <w:t xml:space="preserve">   </w:t>
      </w:r>
      <w:r>
        <w:rPr>
          <w:rFonts w:hint="eastAsia" w:ascii="宋体" w:hAnsi="宋体"/>
          <w:color w:val="000000"/>
          <w:szCs w:val="21"/>
        </w:rPr>
        <w:t>C.加权平均资本成本最低</w:t>
      </w:r>
      <w:r>
        <w:rPr>
          <w:rFonts w:hint="eastAsia" w:ascii="宋体" w:hAnsi="宋体"/>
          <w:color w:val="000000"/>
          <w:szCs w:val="21"/>
        </w:rPr>
        <w:tab/>
      </w:r>
      <w:r>
        <w:rPr>
          <w:rFonts w:hint="eastAsia" w:ascii="宋体" w:hAnsi="宋体"/>
          <w:color w:val="000000"/>
          <w:szCs w:val="21"/>
        </w:rPr>
        <w:t>D.股权资本成本最低</w:t>
      </w:r>
    </w:p>
    <w:p w14:paraId="56F9DA63">
      <w:pPr>
        <w:tabs>
          <w:tab w:val="left" w:pos="4253"/>
        </w:tabs>
        <w:rPr>
          <w:rFonts w:ascii="宋体" w:hAnsi="宋体"/>
          <w:color w:val="000000"/>
          <w:szCs w:val="21"/>
        </w:rPr>
      </w:pPr>
      <w:r>
        <w:rPr>
          <w:rFonts w:hint="eastAsia" w:ascii="宋体" w:hAnsi="宋体"/>
          <w:color w:val="000000"/>
          <w:szCs w:val="21"/>
          <w:lang w:val="en-US" w:eastAsia="zh-CN"/>
        </w:rPr>
        <w:t>13</w:t>
      </w:r>
      <w:r>
        <w:rPr>
          <w:rFonts w:hint="eastAsia" w:ascii="宋体" w:hAnsi="宋体"/>
          <w:color w:val="000000"/>
          <w:szCs w:val="21"/>
        </w:rPr>
        <w:t xml:space="preserve">.与股票投资相比，下列属于债券投资特点的是（ </w:t>
      </w:r>
      <w:r>
        <w:rPr>
          <w:rFonts w:ascii="宋体" w:hAnsi="宋体"/>
          <w:color w:val="000000"/>
          <w:szCs w:val="21"/>
        </w:rPr>
        <w:t xml:space="preserve">     </w:t>
      </w:r>
      <w:r>
        <w:rPr>
          <w:rFonts w:hint="eastAsia" w:ascii="宋体" w:hAnsi="宋体"/>
          <w:color w:val="000000"/>
          <w:szCs w:val="21"/>
        </w:rPr>
        <w:t>）</w:t>
      </w:r>
    </w:p>
    <w:p w14:paraId="6FF1C34B">
      <w:pPr>
        <w:tabs>
          <w:tab w:val="left" w:pos="4253"/>
        </w:tabs>
        <w:rPr>
          <w:rFonts w:ascii="宋体" w:hAnsi="宋体"/>
          <w:color w:val="000000"/>
          <w:szCs w:val="21"/>
        </w:rPr>
      </w:pPr>
      <w:r>
        <w:rPr>
          <w:rFonts w:hint="eastAsia" w:ascii="宋体" w:hAnsi="宋体"/>
          <w:color w:val="000000"/>
          <w:szCs w:val="21"/>
        </w:rPr>
        <w:t xml:space="preserve">A.投资收益高 </w:t>
      </w:r>
      <w:r>
        <w:rPr>
          <w:rFonts w:ascii="宋体" w:hAnsi="宋体"/>
          <w:color w:val="000000"/>
          <w:szCs w:val="21"/>
        </w:rPr>
        <w:t xml:space="preserve">   </w:t>
      </w:r>
      <w:r>
        <w:rPr>
          <w:rFonts w:hint="eastAsia" w:ascii="宋体" w:hAnsi="宋体"/>
          <w:color w:val="000000"/>
          <w:szCs w:val="21"/>
        </w:rPr>
        <w:t xml:space="preserve">B.本金安全性高 </w:t>
      </w:r>
      <w:r>
        <w:rPr>
          <w:rFonts w:ascii="宋体" w:hAnsi="宋体"/>
          <w:color w:val="000000"/>
          <w:szCs w:val="21"/>
        </w:rPr>
        <w:t xml:space="preserve">   </w:t>
      </w:r>
      <w:r>
        <w:rPr>
          <w:rFonts w:hint="eastAsia" w:ascii="宋体" w:hAnsi="宋体"/>
          <w:color w:val="000000"/>
          <w:szCs w:val="21"/>
        </w:rPr>
        <w:t>C.购买力风险低</w:t>
      </w:r>
      <w:r>
        <w:rPr>
          <w:rFonts w:hint="eastAsia" w:ascii="宋体" w:hAnsi="宋体"/>
          <w:color w:val="000000"/>
          <w:szCs w:val="21"/>
        </w:rPr>
        <w:tab/>
      </w:r>
      <w:r>
        <w:rPr>
          <w:rFonts w:hint="eastAsia" w:ascii="宋体" w:hAnsi="宋体"/>
          <w:color w:val="000000"/>
          <w:szCs w:val="21"/>
        </w:rPr>
        <w:t>D.具有经营管理权</w:t>
      </w:r>
    </w:p>
    <w:p w14:paraId="47A858CE">
      <w:pPr>
        <w:tabs>
          <w:tab w:val="left" w:pos="4253"/>
        </w:tabs>
        <w:rPr>
          <w:rFonts w:ascii="宋体" w:hAnsi="宋体"/>
          <w:color w:val="000000"/>
          <w:szCs w:val="21"/>
        </w:rPr>
      </w:pPr>
      <w:r>
        <w:rPr>
          <w:rFonts w:hint="eastAsia" w:ascii="宋体" w:hAnsi="宋体"/>
          <w:color w:val="000000"/>
          <w:szCs w:val="21"/>
          <w:lang w:val="en-US" w:eastAsia="zh-CN"/>
        </w:rPr>
        <w:t>14</w:t>
      </w:r>
      <w:r>
        <w:rPr>
          <w:rFonts w:hint="eastAsia" w:ascii="宋体" w:hAnsi="宋体"/>
          <w:color w:val="000000"/>
          <w:szCs w:val="21"/>
        </w:rPr>
        <w:t xml:space="preserve">，某股票预计每年每股现金股利保持2元不变，如果股东要求的投资收益率为10%，则该股票的内在价值为（ </w:t>
      </w:r>
      <w:r>
        <w:rPr>
          <w:rFonts w:ascii="宋体" w:hAnsi="宋体"/>
          <w:color w:val="000000"/>
          <w:szCs w:val="21"/>
        </w:rPr>
        <w:t xml:space="preserve">     </w:t>
      </w:r>
      <w:r>
        <w:rPr>
          <w:rFonts w:hint="eastAsia" w:ascii="宋体" w:hAnsi="宋体"/>
          <w:color w:val="000000"/>
          <w:szCs w:val="21"/>
        </w:rPr>
        <w:t>）</w:t>
      </w:r>
    </w:p>
    <w:p w14:paraId="4B4DB80F">
      <w:pPr>
        <w:tabs>
          <w:tab w:val="left" w:pos="4253"/>
        </w:tabs>
        <w:rPr>
          <w:rFonts w:ascii="宋体" w:hAnsi="宋体"/>
          <w:color w:val="000000"/>
          <w:szCs w:val="21"/>
        </w:rPr>
      </w:pPr>
      <w:r>
        <w:rPr>
          <w:rFonts w:hint="eastAsia" w:ascii="宋体" w:hAnsi="宋体"/>
          <w:color w:val="000000"/>
          <w:szCs w:val="21"/>
        </w:rPr>
        <w:t xml:space="preserve">A.0.2元 </w:t>
      </w:r>
      <w:r>
        <w:rPr>
          <w:rFonts w:ascii="宋体" w:hAnsi="宋体"/>
          <w:color w:val="000000"/>
          <w:szCs w:val="21"/>
        </w:rPr>
        <w:t xml:space="preserve">     </w:t>
      </w:r>
      <w:r>
        <w:rPr>
          <w:rFonts w:hint="eastAsia" w:ascii="宋体" w:hAnsi="宋体"/>
          <w:color w:val="000000"/>
          <w:szCs w:val="21"/>
        </w:rPr>
        <w:t xml:space="preserve">B.2元 </w:t>
      </w:r>
      <w:r>
        <w:rPr>
          <w:rFonts w:ascii="宋体" w:hAnsi="宋体"/>
          <w:color w:val="000000"/>
          <w:szCs w:val="21"/>
        </w:rPr>
        <w:t xml:space="preserve">      </w:t>
      </w:r>
      <w:r>
        <w:rPr>
          <w:rFonts w:hint="eastAsia" w:ascii="宋体" w:hAnsi="宋体"/>
          <w:color w:val="000000"/>
          <w:szCs w:val="21"/>
        </w:rPr>
        <w:t>C.5元</w:t>
      </w:r>
      <w:r>
        <w:rPr>
          <w:rFonts w:hint="eastAsia" w:ascii="宋体" w:hAnsi="宋体"/>
          <w:color w:val="000000"/>
          <w:szCs w:val="21"/>
        </w:rPr>
        <w:tab/>
      </w:r>
      <w:r>
        <w:rPr>
          <w:rFonts w:hint="eastAsia" w:ascii="宋体" w:hAnsi="宋体"/>
          <w:color w:val="000000"/>
          <w:szCs w:val="21"/>
        </w:rPr>
        <w:t>D.20元</w:t>
      </w:r>
    </w:p>
    <w:p w14:paraId="0331C6AC">
      <w:pPr>
        <w:tabs>
          <w:tab w:val="left" w:pos="4253"/>
        </w:tabs>
        <w:rPr>
          <w:rFonts w:ascii="宋体" w:hAnsi="宋体"/>
          <w:color w:val="000000"/>
          <w:szCs w:val="21"/>
        </w:rPr>
      </w:pPr>
      <w:r>
        <w:rPr>
          <w:rFonts w:hint="eastAsia" w:ascii="宋体" w:hAnsi="宋体"/>
          <w:color w:val="000000"/>
          <w:szCs w:val="21"/>
          <w:lang w:val="en-US" w:eastAsia="zh-CN"/>
        </w:rPr>
        <w:t>15</w:t>
      </w:r>
      <w:r>
        <w:rPr>
          <w:rFonts w:hint="eastAsia" w:ascii="宋体" w:hAnsi="宋体"/>
          <w:color w:val="000000"/>
          <w:szCs w:val="21"/>
        </w:rPr>
        <w:t xml:space="preserve">.在项目投资决策评价中，属于非折现现金流量评价指标的是（ </w:t>
      </w:r>
      <w:r>
        <w:rPr>
          <w:rFonts w:ascii="宋体" w:hAnsi="宋体"/>
          <w:color w:val="000000"/>
          <w:szCs w:val="21"/>
        </w:rPr>
        <w:t xml:space="preserve">     </w:t>
      </w:r>
      <w:r>
        <w:rPr>
          <w:rFonts w:hint="eastAsia" w:ascii="宋体" w:hAnsi="宋体"/>
          <w:color w:val="000000"/>
          <w:szCs w:val="21"/>
        </w:rPr>
        <w:t>）</w:t>
      </w:r>
    </w:p>
    <w:p w14:paraId="34CEDCC6">
      <w:pPr>
        <w:tabs>
          <w:tab w:val="left" w:pos="4253"/>
        </w:tabs>
        <w:rPr>
          <w:rFonts w:ascii="宋体" w:hAnsi="宋体"/>
          <w:color w:val="000000"/>
          <w:szCs w:val="21"/>
        </w:rPr>
      </w:pPr>
      <w:r>
        <w:rPr>
          <w:rFonts w:hint="eastAsia" w:ascii="宋体" w:hAnsi="宋体"/>
          <w:color w:val="000000"/>
          <w:szCs w:val="21"/>
        </w:rPr>
        <w:t xml:space="preserve">A.净现值 </w:t>
      </w:r>
      <w:r>
        <w:rPr>
          <w:rFonts w:ascii="宋体" w:hAnsi="宋体"/>
          <w:color w:val="000000"/>
          <w:szCs w:val="21"/>
        </w:rPr>
        <w:t xml:space="preserve">   </w:t>
      </w:r>
      <w:r>
        <w:rPr>
          <w:rFonts w:hint="eastAsia" w:ascii="宋体" w:hAnsi="宋体"/>
          <w:color w:val="000000"/>
          <w:szCs w:val="21"/>
        </w:rPr>
        <w:t xml:space="preserve">B.现值指数 </w:t>
      </w:r>
      <w:r>
        <w:rPr>
          <w:rFonts w:ascii="宋体" w:hAnsi="宋体"/>
          <w:color w:val="000000"/>
          <w:szCs w:val="21"/>
        </w:rPr>
        <w:t xml:space="preserve">  </w:t>
      </w:r>
      <w:r>
        <w:rPr>
          <w:rFonts w:hint="eastAsia" w:ascii="宋体" w:hAnsi="宋体"/>
          <w:color w:val="000000"/>
          <w:szCs w:val="21"/>
        </w:rPr>
        <w:t>C.内含报酬率</w:t>
      </w:r>
      <w:r>
        <w:rPr>
          <w:rFonts w:hint="eastAsia" w:ascii="宋体" w:hAnsi="宋体"/>
          <w:color w:val="000000"/>
          <w:szCs w:val="21"/>
        </w:rPr>
        <w:tab/>
      </w:r>
      <w:r>
        <w:rPr>
          <w:rFonts w:hint="eastAsia" w:ascii="宋体" w:hAnsi="宋体"/>
          <w:color w:val="000000"/>
          <w:szCs w:val="21"/>
        </w:rPr>
        <w:t>D.会计平均收益率</w:t>
      </w:r>
    </w:p>
    <w:p w14:paraId="71638903">
      <w:pPr>
        <w:tabs>
          <w:tab w:val="left" w:pos="4253"/>
        </w:tabs>
        <w:rPr>
          <w:rFonts w:ascii="宋体" w:hAnsi="宋体"/>
          <w:color w:val="000000"/>
          <w:szCs w:val="21"/>
        </w:rPr>
      </w:pPr>
      <w:r>
        <w:rPr>
          <w:rFonts w:hint="eastAsia" w:ascii="宋体" w:hAnsi="宋体"/>
          <w:color w:val="000000"/>
          <w:szCs w:val="21"/>
          <w:lang w:val="en-US" w:eastAsia="zh-CN"/>
        </w:rPr>
        <w:t>16</w:t>
      </w:r>
      <w:r>
        <w:rPr>
          <w:rFonts w:hint="eastAsia" w:ascii="宋体" w:hAnsi="宋体"/>
          <w:color w:val="000000"/>
          <w:szCs w:val="21"/>
        </w:rPr>
        <w:t xml:space="preserve">.对信用条件，“2/10，n/30”，解释正确的是（ </w:t>
      </w:r>
      <w:r>
        <w:rPr>
          <w:rFonts w:ascii="宋体" w:hAnsi="宋体"/>
          <w:color w:val="000000"/>
          <w:szCs w:val="21"/>
        </w:rPr>
        <w:t xml:space="preserve">    </w:t>
      </w:r>
      <w:r>
        <w:rPr>
          <w:rFonts w:hint="eastAsia" w:ascii="宋体" w:hAnsi="宋体"/>
          <w:color w:val="000000"/>
          <w:szCs w:val="21"/>
        </w:rPr>
        <w:t>）</w:t>
      </w:r>
    </w:p>
    <w:p w14:paraId="1BEC459D">
      <w:pPr>
        <w:tabs>
          <w:tab w:val="left" w:pos="4253"/>
        </w:tabs>
        <w:rPr>
          <w:rFonts w:ascii="宋体" w:hAnsi="宋体"/>
          <w:color w:val="000000"/>
          <w:szCs w:val="21"/>
        </w:rPr>
      </w:pPr>
      <w:r>
        <w:rPr>
          <w:rFonts w:hint="eastAsia" w:ascii="宋体" w:hAnsi="宋体"/>
          <w:color w:val="000000"/>
          <w:szCs w:val="21"/>
        </w:rPr>
        <w:t>A.折扣期限10天，现金折扣2%，信用期限20天</w:t>
      </w:r>
    </w:p>
    <w:p w14:paraId="1AEA2581">
      <w:pPr>
        <w:tabs>
          <w:tab w:val="left" w:pos="4253"/>
        </w:tabs>
        <w:rPr>
          <w:rFonts w:ascii="宋体" w:hAnsi="宋体"/>
          <w:color w:val="000000"/>
          <w:szCs w:val="21"/>
        </w:rPr>
      </w:pPr>
      <w:r>
        <w:rPr>
          <w:rFonts w:hint="eastAsia" w:ascii="宋体" w:hAnsi="宋体"/>
          <w:color w:val="000000"/>
          <w:szCs w:val="21"/>
        </w:rPr>
        <w:t>B.折扣期限10天，现金折扣2%，信用期限30天</w:t>
      </w:r>
    </w:p>
    <w:p w14:paraId="6C10EF88">
      <w:pPr>
        <w:tabs>
          <w:tab w:val="left" w:pos="4253"/>
        </w:tabs>
        <w:rPr>
          <w:rFonts w:ascii="宋体" w:hAnsi="宋体"/>
          <w:color w:val="000000"/>
          <w:szCs w:val="21"/>
        </w:rPr>
      </w:pPr>
      <w:r>
        <w:rPr>
          <w:rFonts w:hint="eastAsia" w:ascii="宋体" w:hAnsi="宋体"/>
          <w:color w:val="000000"/>
          <w:szCs w:val="21"/>
        </w:rPr>
        <w:t>C.折扣期限10天，现金折扣2%，信用期限20天</w:t>
      </w:r>
    </w:p>
    <w:p w14:paraId="2B4CB136">
      <w:pPr>
        <w:tabs>
          <w:tab w:val="left" w:pos="4253"/>
        </w:tabs>
        <w:rPr>
          <w:rFonts w:ascii="宋体" w:hAnsi="宋体"/>
          <w:color w:val="000000"/>
          <w:szCs w:val="21"/>
        </w:rPr>
      </w:pPr>
      <w:r>
        <w:rPr>
          <w:rFonts w:hint="eastAsia" w:ascii="宋体" w:hAnsi="宋体"/>
          <w:color w:val="000000"/>
          <w:szCs w:val="21"/>
        </w:rPr>
        <w:t>D.折扣期限10天，现金折扣2%，信用期限30天</w:t>
      </w:r>
    </w:p>
    <w:p w14:paraId="138F7CB7">
      <w:pPr>
        <w:tabs>
          <w:tab w:val="left" w:pos="4253"/>
        </w:tabs>
        <w:rPr>
          <w:rFonts w:ascii="宋体" w:hAnsi="宋体"/>
          <w:color w:val="000000"/>
          <w:szCs w:val="21"/>
        </w:rPr>
      </w:pPr>
      <w:r>
        <w:rPr>
          <w:rFonts w:ascii="宋体" w:hAnsi="宋体"/>
          <w:color w:val="000000"/>
          <w:szCs w:val="21"/>
        </w:rPr>
        <w:t>2</w:t>
      </w:r>
      <w:r>
        <w:rPr>
          <w:rFonts w:hint="eastAsia" w:ascii="宋体" w:hAnsi="宋体"/>
          <w:color w:val="000000"/>
          <w:szCs w:val="21"/>
        </w:rPr>
        <w:t xml:space="preserve">0.下列关于发放股票股利对公司影响的表述，正确的是（ </w:t>
      </w:r>
      <w:r>
        <w:rPr>
          <w:rFonts w:ascii="宋体" w:hAnsi="宋体"/>
          <w:color w:val="000000"/>
          <w:szCs w:val="21"/>
        </w:rPr>
        <w:t xml:space="preserve">     </w:t>
      </w:r>
      <w:r>
        <w:rPr>
          <w:rFonts w:hint="eastAsia" w:ascii="宋体" w:hAnsi="宋体"/>
          <w:color w:val="000000"/>
          <w:szCs w:val="21"/>
        </w:rPr>
        <w:t>）</w:t>
      </w:r>
    </w:p>
    <w:p w14:paraId="303B80CE">
      <w:pPr>
        <w:tabs>
          <w:tab w:val="left" w:pos="4253"/>
        </w:tabs>
        <w:rPr>
          <w:rFonts w:ascii="宋体" w:hAnsi="宋体"/>
          <w:color w:val="000000"/>
          <w:szCs w:val="21"/>
        </w:rPr>
      </w:pPr>
      <w:r>
        <w:rPr>
          <w:rFonts w:hint="eastAsia" w:ascii="宋体" w:hAnsi="宋体"/>
          <w:color w:val="000000"/>
          <w:szCs w:val="21"/>
        </w:rPr>
        <w:t>A.不利于公司的长期发展</w:t>
      </w:r>
      <w:r>
        <w:rPr>
          <w:rFonts w:hint="eastAsia" w:ascii="宋体" w:hAnsi="宋体"/>
          <w:color w:val="000000"/>
          <w:szCs w:val="21"/>
        </w:rPr>
        <w:tab/>
      </w:r>
      <w:r>
        <w:rPr>
          <w:rFonts w:hint="eastAsia" w:ascii="宋体" w:hAnsi="宋体"/>
          <w:color w:val="000000"/>
          <w:szCs w:val="21"/>
        </w:rPr>
        <w:t>B.引起股东权益总额发生变化</w:t>
      </w:r>
    </w:p>
    <w:p w14:paraId="28A9203C">
      <w:pPr>
        <w:tabs>
          <w:tab w:val="left" w:pos="4253"/>
        </w:tabs>
        <w:rPr>
          <w:rFonts w:ascii="宋体" w:hAnsi="宋体"/>
          <w:color w:val="000000"/>
          <w:szCs w:val="21"/>
        </w:rPr>
      </w:pPr>
      <w:r>
        <w:rPr>
          <w:rFonts w:hint="eastAsia" w:ascii="宋体" w:hAnsi="宋体"/>
          <w:color w:val="000000"/>
          <w:szCs w:val="21"/>
        </w:rPr>
        <w:t>C.不利于提高投资人对公司的信心</w:t>
      </w:r>
      <w:r>
        <w:rPr>
          <w:rFonts w:hint="eastAsia" w:ascii="宋体" w:hAnsi="宋体"/>
          <w:color w:val="000000"/>
          <w:szCs w:val="21"/>
        </w:rPr>
        <w:tab/>
      </w:r>
      <w:r>
        <w:rPr>
          <w:rFonts w:hint="eastAsia" w:ascii="宋体" w:hAnsi="宋体"/>
          <w:color w:val="000000"/>
          <w:szCs w:val="21"/>
        </w:rPr>
        <w:t>D.引起股东权益内部构成项目发生变化</w:t>
      </w:r>
    </w:p>
    <w:p w14:paraId="082B08A4">
      <w:pPr>
        <w:ind w:firstLine="105" w:firstLineChars="50"/>
        <w:rPr>
          <w:rFonts w:hint="eastAsia"/>
        </w:rPr>
      </w:pPr>
    </w:p>
    <w:p w14:paraId="348BE707">
      <w:pPr>
        <w:tabs>
          <w:tab w:val="left" w:pos="4253"/>
        </w:tabs>
        <w:rPr>
          <w:rFonts w:ascii="宋体" w:hAnsi="宋体"/>
          <w:b/>
          <w:color w:val="000000"/>
          <w:szCs w:val="21"/>
        </w:rPr>
      </w:pPr>
      <w:r>
        <w:rPr>
          <w:rFonts w:hint="eastAsia" w:ascii="宋体" w:hAnsi="宋体"/>
          <w:b/>
          <w:color w:val="000000"/>
          <w:szCs w:val="21"/>
        </w:rPr>
        <w:t>二、判断题（</w:t>
      </w:r>
      <w:r>
        <w:rPr>
          <w:rFonts w:hint="eastAsia"/>
          <w:b/>
          <w:color w:val="000000"/>
          <w:szCs w:val="21"/>
        </w:rPr>
        <w:t>正确的在题后答卷相应位置内打√，错误的打×</w:t>
      </w:r>
      <w:r>
        <w:rPr>
          <w:rFonts w:hint="eastAsia" w:ascii="宋体" w:hAnsi="宋体"/>
          <w:b/>
          <w:color w:val="000000"/>
          <w:szCs w:val="21"/>
        </w:rPr>
        <w:t>）</w:t>
      </w:r>
    </w:p>
    <w:p w14:paraId="3CBD2523">
      <w:pPr>
        <w:rPr>
          <w:rFonts w:ascii="宋体" w:hAnsi="宋体"/>
          <w:szCs w:val="21"/>
        </w:rPr>
      </w:pPr>
      <w:r>
        <w:rPr>
          <w:rFonts w:hint="eastAsia" w:ascii="宋体" w:hAnsi="宋体"/>
          <w:szCs w:val="21"/>
        </w:rPr>
        <w:t>1.</w:t>
      </w:r>
      <w:r>
        <w:rPr>
          <w:rFonts w:hint="eastAsia" w:ascii="宋体" w:hAnsi="宋体"/>
        </w:rPr>
        <w:t>企业可以利用金融市场来调整资本结构。</w:t>
      </w:r>
      <w:r>
        <w:rPr>
          <w:rFonts w:hint="eastAsia"/>
          <w:color w:val="000000"/>
          <w:szCs w:val="21"/>
        </w:rPr>
        <w:t xml:space="preserve">（ </w:t>
      </w:r>
      <w:r>
        <w:rPr>
          <w:color w:val="000000"/>
          <w:szCs w:val="21"/>
        </w:rPr>
        <w:t xml:space="preserve"> </w:t>
      </w:r>
      <w:r>
        <w:rPr>
          <w:rFonts w:hint="eastAsia"/>
          <w:color w:val="000000"/>
          <w:szCs w:val="21"/>
        </w:rPr>
        <w:t>　）</w:t>
      </w:r>
    </w:p>
    <w:p w14:paraId="4715FA51">
      <w:pPr>
        <w:rPr>
          <w:rFonts w:ascii="宋体" w:hAnsi="宋体"/>
          <w:szCs w:val="21"/>
        </w:rPr>
      </w:pPr>
      <w:r>
        <w:rPr>
          <w:rFonts w:hint="eastAsia" w:ascii="宋体" w:hAnsi="宋体"/>
          <w:szCs w:val="21"/>
        </w:rPr>
        <w:t>2.风险小的企业经济效益就好。</w:t>
      </w:r>
      <w:r>
        <w:rPr>
          <w:rFonts w:hint="eastAsia"/>
          <w:color w:val="000000"/>
          <w:szCs w:val="21"/>
        </w:rPr>
        <w:t xml:space="preserve">（ </w:t>
      </w:r>
      <w:r>
        <w:rPr>
          <w:color w:val="000000"/>
          <w:szCs w:val="21"/>
        </w:rPr>
        <w:t xml:space="preserve"> </w:t>
      </w:r>
      <w:r>
        <w:rPr>
          <w:rFonts w:hint="eastAsia"/>
          <w:color w:val="000000"/>
          <w:szCs w:val="21"/>
        </w:rPr>
        <w:t>　）</w:t>
      </w:r>
    </w:p>
    <w:p w14:paraId="1A09EB27">
      <w:pPr>
        <w:rPr>
          <w:rFonts w:ascii="宋体" w:hAnsi="宋体"/>
          <w:szCs w:val="21"/>
        </w:rPr>
      </w:pPr>
      <w:r>
        <w:rPr>
          <w:rFonts w:hint="eastAsia" w:ascii="宋体" w:hAnsi="宋体"/>
          <w:szCs w:val="21"/>
        </w:rPr>
        <w:t>3.每股收益越高，意味着股东可以从公司分得的现金股利越多。</w:t>
      </w:r>
      <w:r>
        <w:rPr>
          <w:rFonts w:hint="eastAsia"/>
          <w:color w:val="000000"/>
          <w:szCs w:val="21"/>
        </w:rPr>
        <w:t xml:space="preserve">（ </w:t>
      </w:r>
      <w:r>
        <w:rPr>
          <w:color w:val="000000"/>
          <w:szCs w:val="21"/>
        </w:rPr>
        <w:t xml:space="preserve"> </w:t>
      </w:r>
      <w:r>
        <w:rPr>
          <w:rFonts w:hint="eastAsia"/>
          <w:color w:val="000000"/>
          <w:szCs w:val="21"/>
        </w:rPr>
        <w:t>　）</w:t>
      </w:r>
    </w:p>
    <w:p w14:paraId="73079560">
      <w:pPr>
        <w:rPr>
          <w:rFonts w:ascii="宋体" w:hAnsi="宋体"/>
          <w:szCs w:val="21"/>
        </w:rPr>
      </w:pPr>
      <w:r>
        <w:rPr>
          <w:rFonts w:hint="eastAsia" w:ascii="宋体" w:hAnsi="宋体"/>
          <w:szCs w:val="21"/>
        </w:rPr>
        <w:t>4.企业向银行举借长期借款时，如预期市场利率将下降，应与银行签订浮动利率借款合同。</w:t>
      </w:r>
      <w:r>
        <w:rPr>
          <w:rFonts w:hint="eastAsia"/>
          <w:color w:val="000000"/>
          <w:szCs w:val="21"/>
        </w:rPr>
        <w:t xml:space="preserve">（ </w:t>
      </w:r>
      <w:r>
        <w:rPr>
          <w:color w:val="000000"/>
          <w:szCs w:val="21"/>
        </w:rPr>
        <w:t xml:space="preserve"> </w:t>
      </w:r>
      <w:r>
        <w:rPr>
          <w:rFonts w:hint="eastAsia"/>
          <w:color w:val="000000"/>
          <w:szCs w:val="21"/>
        </w:rPr>
        <w:t>　）</w:t>
      </w:r>
    </w:p>
    <w:p w14:paraId="20FE1F27">
      <w:pPr>
        <w:rPr>
          <w:rFonts w:ascii="宋体" w:hAnsi="宋体"/>
          <w:szCs w:val="21"/>
        </w:rPr>
      </w:pPr>
      <w:r>
        <w:rPr>
          <w:rFonts w:hint="eastAsia" w:ascii="宋体" w:hAnsi="宋体"/>
          <w:szCs w:val="21"/>
          <w:lang w:val="en-US" w:eastAsia="zh-CN"/>
        </w:rPr>
        <w:t>5</w:t>
      </w:r>
      <w:r>
        <w:rPr>
          <w:rFonts w:hint="eastAsia" w:ascii="宋体" w:hAnsi="宋体"/>
          <w:szCs w:val="21"/>
        </w:rPr>
        <w:t>.企业的信用标准高，给予客户的信用期限很短，使得应收账款周转率很高，将有利于增加企业的利润。</w:t>
      </w:r>
      <w:r>
        <w:rPr>
          <w:rFonts w:hint="eastAsia"/>
          <w:color w:val="000000"/>
          <w:szCs w:val="21"/>
        </w:rPr>
        <w:t xml:space="preserve">（ </w:t>
      </w:r>
      <w:r>
        <w:rPr>
          <w:color w:val="000000"/>
          <w:szCs w:val="21"/>
        </w:rPr>
        <w:t xml:space="preserve"> </w:t>
      </w:r>
      <w:r>
        <w:rPr>
          <w:rFonts w:hint="eastAsia"/>
          <w:color w:val="000000"/>
          <w:szCs w:val="21"/>
        </w:rPr>
        <w:t>　）</w:t>
      </w:r>
    </w:p>
    <w:p w14:paraId="74660525">
      <w:pPr>
        <w:rPr>
          <w:color w:val="000000"/>
          <w:szCs w:val="21"/>
        </w:rPr>
      </w:pPr>
      <w:r>
        <w:rPr>
          <w:rFonts w:hint="eastAsia" w:ascii="宋体" w:hAnsi="宋体"/>
          <w:szCs w:val="21"/>
          <w:lang w:val="en-US" w:eastAsia="zh-CN"/>
        </w:rPr>
        <w:t>6</w:t>
      </w:r>
      <w:r>
        <w:rPr>
          <w:rFonts w:hint="eastAsia" w:ascii="宋体" w:hAnsi="宋体"/>
          <w:szCs w:val="21"/>
        </w:rPr>
        <w:t>.公司奉行剩余股利政策的目的是保持理想的资本结构；采用固定股利政策主要是为了维持股价；固定股利支付率政策将股利支付与公司盈利紧密相连；而正常股利加额外股利政策使公司在股利支付中较具灵活性。</w:t>
      </w:r>
      <w:r>
        <w:rPr>
          <w:rFonts w:hint="eastAsia"/>
          <w:color w:val="000000"/>
          <w:szCs w:val="21"/>
        </w:rPr>
        <w:t xml:space="preserve">（ </w:t>
      </w:r>
      <w:r>
        <w:rPr>
          <w:color w:val="000000"/>
          <w:szCs w:val="21"/>
        </w:rPr>
        <w:t xml:space="preserve"> </w:t>
      </w:r>
      <w:r>
        <w:rPr>
          <w:rFonts w:hint="eastAsia"/>
          <w:color w:val="000000"/>
          <w:szCs w:val="21"/>
        </w:rPr>
        <w:t>　）</w:t>
      </w:r>
    </w:p>
    <w:p w14:paraId="1CBEF28C">
      <w:pPr>
        <w:spacing w:line="320" w:lineRule="exact"/>
        <w:rPr>
          <w:color w:val="000000"/>
          <w:szCs w:val="21"/>
        </w:rPr>
      </w:pPr>
      <w:r>
        <w:rPr>
          <w:rFonts w:hint="eastAsia"/>
          <w:color w:val="000000"/>
          <w:szCs w:val="21"/>
          <w:lang w:val="en-US" w:eastAsia="zh-CN"/>
        </w:rPr>
        <w:t>7</w:t>
      </w:r>
      <w:r>
        <w:rPr>
          <w:color w:val="000000"/>
          <w:szCs w:val="21"/>
        </w:rPr>
        <w:t>.</w:t>
      </w:r>
      <w:r>
        <w:rPr>
          <w:rFonts w:hint="eastAsia"/>
          <w:color w:val="000000"/>
          <w:szCs w:val="21"/>
        </w:rPr>
        <w:t xml:space="preserve">企业之所以持有一定数量的现金，主要是出于交易动机、预防动机和投机动机。（　 </w:t>
      </w:r>
      <w:r>
        <w:rPr>
          <w:color w:val="000000"/>
          <w:szCs w:val="21"/>
        </w:rPr>
        <w:t xml:space="preserve"> </w:t>
      </w:r>
      <w:r>
        <w:rPr>
          <w:rFonts w:hint="eastAsia"/>
          <w:color w:val="000000"/>
          <w:szCs w:val="21"/>
        </w:rPr>
        <w:t xml:space="preserve"> </w:t>
      </w:r>
      <w:r>
        <w:rPr>
          <w:color w:val="000000"/>
          <w:szCs w:val="21"/>
        </w:rPr>
        <w:t xml:space="preserve"> </w:t>
      </w:r>
      <w:r>
        <w:rPr>
          <w:rFonts w:hint="eastAsia"/>
          <w:color w:val="000000"/>
          <w:szCs w:val="21"/>
        </w:rPr>
        <w:t>）</w:t>
      </w:r>
    </w:p>
    <w:p w14:paraId="69F16E52">
      <w:pPr>
        <w:spacing w:line="320" w:lineRule="exact"/>
        <w:rPr>
          <w:color w:val="000000"/>
          <w:szCs w:val="21"/>
        </w:rPr>
      </w:pPr>
      <w:r>
        <w:rPr>
          <w:rFonts w:hint="eastAsia"/>
          <w:color w:val="000000"/>
          <w:szCs w:val="21"/>
          <w:lang w:val="en-US" w:eastAsia="zh-CN"/>
        </w:rPr>
        <w:t>8</w:t>
      </w:r>
      <w:r>
        <w:rPr>
          <w:color w:val="000000"/>
          <w:szCs w:val="21"/>
        </w:rPr>
        <w:t>.</w:t>
      </w:r>
      <w:r>
        <w:rPr>
          <w:rFonts w:hint="eastAsia"/>
          <w:color w:val="000000"/>
          <w:szCs w:val="21"/>
        </w:rPr>
        <w:t xml:space="preserve">筹资渠道解决的是资金来源问题，筹资方式解决的是通过何方式取得资金的问题，它们之间不存在对应关系。（　 </w:t>
      </w:r>
      <w:r>
        <w:rPr>
          <w:color w:val="000000"/>
          <w:szCs w:val="21"/>
        </w:rPr>
        <w:t xml:space="preserve"> </w:t>
      </w:r>
      <w:r>
        <w:rPr>
          <w:rFonts w:hint="eastAsia"/>
          <w:color w:val="000000"/>
          <w:szCs w:val="21"/>
        </w:rPr>
        <w:t xml:space="preserve"> ）</w:t>
      </w:r>
    </w:p>
    <w:p w14:paraId="6135ADC5">
      <w:pPr>
        <w:spacing w:line="320" w:lineRule="exact"/>
        <w:rPr>
          <w:color w:val="000000"/>
          <w:szCs w:val="21"/>
        </w:rPr>
      </w:pPr>
      <w:r>
        <w:rPr>
          <w:rFonts w:hint="eastAsia"/>
          <w:color w:val="000000"/>
          <w:szCs w:val="21"/>
          <w:lang w:val="en-US" w:eastAsia="zh-CN"/>
        </w:rPr>
        <w:t>9</w:t>
      </w:r>
      <w:r>
        <w:rPr>
          <w:color w:val="000000"/>
          <w:szCs w:val="21"/>
        </w:rPr>
        <w:t>.</w:t>
      </w:r>
      <w:r>
        <w:rPr>
          <w:rFonts w:hint="eastAsia"/>
          <w:color w:val="000000"/>
          <w:szCs w:val="21"/>
        </w:rPr>
        <w:t xml:space="preserve">经营杠杆能够扩大市场和生产等不确定性因素对利润变动的影响。（ 　 </w:t>
      </w:r>
      <w:r>
        <w:rPr>
          <w:color w:val="000000"/>
          <w:szCs w:val="21"/>
        </w:rPr>
        <w:t xml:space="preserve"> </w:t>
      </w:r>
      <w:r>
        <w:rPr>
          <w:rFonts w:hint="eastAsia"/>
          <w:color w:val="000000"/>
          <w:szCs w:val="21"/>
        </w:rPr>
        <w:t>）</w:t>
      </w:r>
    </w:p>
    <w:p w14:paraId="4CD709DD">
      <w:pPr>
        <w:spacing w:line="320" w:lineRule="exact"/>
        <w:rPr>
          <w:color w:val="000000"/>
          <w:szCs w:val="21"/>
        </w:rPr>
      </w:pPr>
      <w:r>
        <w:rPr>
          <w:color w:val="000000"/>
          <w:szCs w:val="21"/>
        </w:rPr>
        <w:t>1</w:t>
      </w:r>
      <w:r>
        <w:rPr>
          <w:rFonts w:hint="eastAsia"/>
          <w:color w:val="000000"/>
          <w:szCs w:val="21"/>
          <w:lang w:val="en-US" w:eastAsia="zh-CN"/>
        </w:rPr>
        <w:t>0</w:t>
      </w:r>
      <w:r>
        <w:rPr>
          <w:color w:val="000000"/>
          <w:szCs w:val="21"/>
        </w:rPr>
        <w:t>.</w:t>
      </w:r>
      <w:r>
        <w:rPr>
          <w:rFonts w:hint="eastAsia"/>
          <w:color w:val="000000"/>
          <w:szCs w:val="21"/>
        </w:rPr>
        <w:t xml:space="preserve">在除息日之前，股利权利从属于股票：从除息日开始，新购入股票的投资者不能分享本次已宣告发放的股利。（ </w:t>
      </w:r>
      <w:r>
        <w:rPr>
          <w:color w:val="000000"/>
          <w:szCs w:val="21"/>
        </w:rPr>
        <w:t xml:space="preserve"> </w:t>
      </w:r>
      <w:r>
        <w:rPr>
          <w:rFonts w:hint="eastAsia"/>
          <w:color w:val="000000"/>
          <w:szCs w:val="21"/>
        </w:rPr>
        <w:t xml:space="preserve"> 　）</w:t>
      </w:r>
    </w:p>
    <w:p w14:paraId="4E6AFA1D">
      <w:pPr>
        <w:spacing w:line="320" w:lineRule="exact"/>
        <w:rPr>
          <w:color w:val="000000"/>
          <w:szCs w:val="21"/>
        </w:rPr>
      </w:pPr>
      <w:r>
        <w:rPr>
          <w:color w:val="000000"/>
          <w:szCs w:val="21"/>
        </w:rPr>
        <w:t>1</w:t>
      </w:r>
      <w:r>
        <w:rPr>
          <w:rFonts w:hint="eastAsia"/>
          <w:color w:val="000000"/>
          <w:szCs w:val="21"/>
          <w:lang w:val="en-US" w:eastAsia="zh-CN"/>
        </w:rPr>
        <w:t>1</w:t>
      </w:r>
      <w:r>
        <w:rPr>
          <w:color w:val="000000"/>
          <w:szCs w:val="21"/>
        </w:rPr>
        <w:t>.</w:t>
      </w:r>
      <w:r>
        <w:rPr>
          <w:rFonts w:hint="eastAsia"/>
          <w:color w:val="000000"/>
          <w:szCs w:val="21"/>
        </w:rPr>
        <w:t xml:space="preserve">证券组合风险的大小，等于组合中各个证券风险的加权平均数。（　 </w:t>
      </w:r>
      <w:r>
        <w:rPr>
          <w:color w:val="000000"/>
          <w:szCs w:val="21"/>
        </w:rPr>
        <w:t xml:space="preserve">  </w:t>
      </w:r>
      <w:r>
        <w:rPr>
          <w:rFonts w:hint="eastAsia"/>
          <w:color w:val="000000"/>
          <w:szCs w:val="21"/>
        </w:rPr>
        <w:t>）</w:t>
      </w:r>
    </w:p>
    <w:p w14:paraId="1FAF71D1">
      <w:pPr>
        <w:spacing w:line="320" w:lineRule="exact"/>
        <w:rPr>
          <w:color w:val="000000"/>
          <w:szCs w:val="21"/>
        </w:rPr>
      </w:pPr>
      <w:r>
        <w:rPr>
          <w:color w:val="000000"/>
          <w:szCs w:val="21"/>
        </w:rPr>
        <w:t>1</w:t>
      </w:r>
      <w:r>
        <w:rPr>
          <w:rFonts w:hint="eastAsia"/>
          <w:color w:val="000000"/>
          <w:szCs w:val="21"/>
          <w:lang w:val="en-US" w:eastAsia="zh-CN"/>
        </w:rPr>
        <w:t>2</w:t>
      </w:r>
      <w:r>
        <w:rPr>
          <w:color w:val="000000"/>
          <w:szCs w:val="21"/>
        </w:rPr>
        <w:t>.</w:t>
      </w:r>
      <w:r>
        <w:rPr>
          <w:rFonts w:hint="eastAsia"/>
          <w:color w:val="000000"/>
          <w:szCs w:val="21"/>
        </w:rPr>
        <w:t xml:space="preserve">根据财务管理理论，按照三阶段模型估算的普通股价值，等于股利高速增长阶段现值、股利固定增长阶段现值和股利固定不变阶段现值之和。（　 </w:t>
      </w:r>
      <w:r>
        <w:rPr>
          <w:color w:val="000000"/>
          <w:szCs w:val="21"/>
        </w:rPr>
        <w:t xml:space="preserve">  </w:t>
      </w:r>
      <w:r>
        <w:rPr>
          <w:rFonts w:hint="eastAsia"/>
          <w:color w:val="000000"/>
          <w:szCs w:val="21"/>
        </w:rPr>
        <w:t>）</w:t>
      </w:r>
    </w:p>
    <w:p w14:paraId="240D22A2">
      <w:pPr>
        <w:spacing w:line="320" w:lineRule="exact"/>
        <w:rPr>
          <w:color w:val="000000"/>
          <w:szCs w:val="21"/>
        </w:rPr>
      </w:pPr>
      <w:r>
        <w:rPr>
          <w:color w:val="000000"/>
          <w:szCs w:val="21"/>
        </w:rPr>
        <w:t>1</w:t>
      </w:r>
      <w:r>
        <w:rPr>
          <w:rFonts w:hint="eastAsia"/>
          <w:color w:val="000000"/>
          <w:szCs w:val="21"/>
          <w:lang w:val="en-US" w:eastAsia="zh-CN"/>
        </w:rPr>
        <w:t>3</w:t>
      </w:r>
      <w:r>
        <w:rPr>
          <w:color w:val="000000"/>
          <w:szCs w:val="21"/>
        </w:rPr>
        <w:t>. 一般情况下，使某投资方案的净现值</w:t>
      </w:r>
      <w:r>
        <w:rPr>
          <w:rFonts w:hint="eastAsia"/>
          <w:color w:val="000000"/>
          <w:szCs w:val="21"/>
        </w:rPr>
        <w:t>大</w:t>
      </w:r>
      <w:r>
        <w:rPr>
          <w:color w:val="000000"/>
          <w:szCs w:val="21"/>
        </w:rPr>
        <w:t>于零的折现率，一定</w:t>
      </w:r>
      <w:r>
        <w:rPr>
          <w:rFonts w:hint="eastAsia"/>
          <w:color w:val="000000"/>
          <w:szCs w:val="21"/>
        </w:rPr>
        <w:t>低于</w:t>
      </w:r>
      <w:r>
        <w:rPr>
          <w:color w:val="000000"/>
          <w:szCs w:val="21"/>
        </w:rPr>
        <w:t>该投资方案的内含报酬率。（　</w:t>
      </w:r>
      <w:r>
        <w:rPr>
          <w:rFonts w:hint="eastAsia"/>
          <w:color w:val="000000"/>
          <w:szCs w:val="21"/>
        </w:rPr>
        <w:t xml:space="preserve">  </w:t>
      </w:r>
      <w:r>
        <w:rPr>
          <w:color w:val="000000"/>
          <w:szCs w:val="21"/>
        </w:rPr>
        <w:t xml:space="preserve">  ）</w:t>
      </w:r>
    </w:p>
    <w:p w14:paraId="0E64C930">
      <w:pPr>
        <w:spacing w:line="320" w:lineRule="exact"/>
        <w:rPr>
          <w:color w:val="000000"/>
          <w:szCs w:val="21"/>
        </w:rPr>
      </w:pPr>
      <w:r>
        <w:rPr>
          <w:color w:val="000000"/>
          <w:szCs w:val="21"/>
        </w:rPr>
        <w:t>1</w:t>
      </w:r>
      <w:r>
        <w:rPr>
          <w:rFonts w:hint="eastAsia"/>
          <w:color w:val="000000"/>
          <w:szCs w:val="21"/>
          <w:lang w:val="en-US" w:eastAsia="zh-CN"/>
        </w:rPr>
        <w:t>4</w:t>
      </w:r>
      <w:r>
        <w:rPr>
          <w:color w:val="000000"/>
          <w:szCs w:val="21"/>
        </w:rPr>
        <w:t>.</w:t>
      </w:r>
      <w:r>
        <w:rPr>
          <w:rFonts w:hint="eastAsia"/>
          <w:color w:val="000000"/>
          <w:szCs w:val="21"/>
        </w:rPr>
        <w:t xml:space="preserve">在有关资金时间价值指标的计算过程中，普通年金现值与普通年金终值是互为逆运算的关系。（ </w:t>
      </w:r>
      <w:r>
        <w:rPr>
          <w:color w:val="000000"/>
          <w:szCs w:val="21"/>
        </w:rPr>
        <w:t xml:space="preserve">    </w:t>
      </w:r>
      <w:r>
        <w:rPr>
          <w:rFonts w:hint="eastAsia"/>
          <w:color w:val="000000"/>
          <w:szCs w:val="21"/>
        </w:rPr>
        <w:t>）</w:t>
      </w:r>
    </w:p>
    <w:p w14:paraId="15B4E871">
      <w:pPr>
        <w:spacing w:line="320" w:lineRule="exact"/>
        <w:rPr>
          <w:color w:val="000000"/>
          <w:szCs w:val="21"/>
        </w:rPr>
      </w:pPr>
      <w:r>
        <w:rPr>
          <w:color w:val="000000"/>
          <w:szCs w:val="21"/>
        </w:rPr>
        <w:t>1</w:t>
      </w:r>
      <w:r>
        <w:rPr>
          <w:rFonts w:hint="eastAsia"/>
          <w:color w:val="000000"/>
          <w:szCs w:val="21"/>
          <w:lang w:val="en-US" w:eastAsia="zh-CN"/>
        </w:rPr>
        <w:t>5</w:t>
      </w:r>
      <w:r>
        <w:rPr>
          <w:color w:val="000000"/>
          <w:szCs w:val="21"/>
        </w:rPr>
        <w:t>如果企业的借款能力较</w:t>
      </w:r>
      <w:r>
        <w:rPr>
          <w:rFonts w:hint="eastAsia"/>
          <w:color w:val="000000"/>
          <w:szCs w:val="21"/>
        </w:rPr>
        <w:t>强</w:t>
      </w:r>
      <w:r>
        <w:rPr>
          <w:color w:val="000000"/>
          <w:szCs w:val="21"/>
        </w:rPr>
        <w:t>，保障程度较</w:t>
      </w:r>
      <w:r>
        <w:rPr>
          <w:rFonts w:hint="eastAsia"/>
          <w:color w:val="000000"/>
          <w:szCs w:val="21"/>
        </w:rPr>
        <w:t>高</w:t>
      </w:r>
      <w:r>
        <w:rPr>
          <w:color w:val="000000"/>
          <w:szCs w:val="21"/>
        </w:rPr>
        <w:t>，则可适当</w:t>
      </w:r>
      <w:r>
        <w:rPr>
          <w:rFonts w:hint="eastAsia"/>
          <w:color w:val="000000"/>
          <w:szCs w:val="21"/>
        </w:rPr>
        <w:t>提高</w:t>
      </w:r>
      <w:r>
        <w:rPr>
          <w:color w:val="000000"/>
          <w:szCs w:val="21"/>
        </w:rPr>
        <w:t>预防性现金的数额。（　</w:t>
      </w:r>
      <w:r>
        <w:rPr>
          <w:rFonts w:hint="eastAsia"/>
          <w:color w:val="000000"/>
          <w:szCs w:val="21"/>
        </w:rPr>
        <w:t xml:space="preserve"> </w:t>
      </w:r>
      <w:r>
        <w:rPr>
          <w:color w:val="000000"/>
          <w:szCs w:val="21"/>
        </w:rPr>
        <w:t xml:space="preserve"> </w:t>
      </w:r>
      <w:r>
        <w:rPr>
          <w:rFonts w:hint="eastAsia"/>
          <w:color w:val="000000"/>
          <w:szCs w:val="21"/>
        </w:rPr>
        <w:t xml:space="preserve"> </w:t>
      </w:r>
      <w:r>
        <w:rPr>
          <w:color w:val="000000"/>
          <w:szCs w:val="21"/>
        </w:rPr>
        <w:t xml:space="preserve"> ）</w:t>
      </w:r>
    </w:p>
    <w:p w14:paraId="29C77F54">
      <w:pPr>
        <w:spacing w:line="320" w:lineRule="exact"/>
        <w:rPr>
          <w:color w:val="000000"/>
          <w:szCs w:val="21"/>
        </w:rPr>
      </w:pPr>
      <w:r>
        <w:rPr>
          <w:rFonts w:hint="eastAsia"/>
          <w:color w:val="000000"/>
          <w:szCs w:val="21"/>
          <w:lang w:val="en-US" w:eastAsia="zh-CN"/>
        </w:rPr>
        <w:t>16</w:t>
      </w:r>
      <w:r>
        <w:rPr>
          <w:color w:val="000000"/>
          <w:szCs w:val="21"/>
        </w:rPr>
        <w:t>.</w:t>
      </w:r>
      <w:r>
        <w:rPr>
          <w:rFonts w:hint="eastAsia"/>
          <w:color w:val="000000"/>
          <w:szCs w:val="21"/>
        </w:rPr>
        <w:t xml:space="preserve">根据项目投资理论，完整工业项目运营期某年的所得税前净现金流量等于该年的净营运 现金流量。（ </w:t>
      </w:r>
      <w:r>
        <w:rPr>
          <w:color w:val="000000"/>
          <w:szCs w:val="21"/>
        </w:rPr>
        <w:t xml:space="preserve"> </w:t>
      </w:r>
      <w:r>
        <w:rPr>
          <w:rFonts w:hint="eastAsia"/>
          <w:color w:val="000000"/>
          <w:szCs w:val="21"/>
        </w:rPr>
        <w:t>　）</w:t>
      </w:r>
    </w:p>
    <w:p w14:paraId="7D35CEEC">
      <w:pPr>
        <w:rPr>
          <w:rFonts w:hint="eastAsia"/>
          <w:color w:val="000000"/>
          <w:szCs w:val="21"/>
        </w:rPr>
      </w:pPr>
    </w:p>
    <w:p w14:paraId="4348F6C7">
      <w:pPr>
        <w:pStyle w:val="2"/>
        <w:tabs>
          <w:tab w:val="left" w:pos="840"/>
        </w:tabs>
        <w:spacing w:before="0" w:beforeAutospacing="0" w:after="0" w:afterAutospacing="0"/>
        <w:rPr>
          <w:b/>
          <w:sz w:val="21"/>
          <w:szCs w:val="21"/>
        </w:rPr>
      </w:pPr>
      <w:r>
        <w:rPr>
          <w:rFonts w:hint="eastAsia"/>
          <w:b/>
          <w:sz w:val="21"/>
          <w:szCs w:val="21"/>
        </w:rPr>
        <w:t>三、名词解释</w:t>
      </w:r>
    </w:p>
    <w:p w14:paraId="096C20C7">
      <w:pPr>
        <w:autoSpaceDE w:val="0"/>
        <w:autoSpaceDN w:val="0"/>
        <w:adjustRightInd w:val="0"/>
        <w:spacing w:line="315" w:lineRule="atLeast"/>
        <w:jc w:val="left"/>
        <w:rPr>
          <w:rFonts w:ascii="宋体" w:hAnsi="宋体" w:cs="宋体"/>
          <w:szCs w:val="21"/>
        </w:rPr>
      </w:pPr>
      <w:r>
        <w:rPr>
          <w:rFonts w:hint="eastAsia" w:ascii="宋体" w:hAnsi="宋体" w:cs="宋体"/>
          <w:szCs w:val="21"/>
        </w:rPr>
        <w:t>1.</w:t>
      </w:r>
      <w:r>
        <w:rPr>
          <w:rFonts w:hint="eastAsia" w:ascii="宋体" w:hAnsi="宋体"/>
          <w:szCs w:val="21"/>
        </w:rPr>
        <w:t>财务预算</w:t>
      </w:r>
    </w:p>
    <w:p w14:paraId="56AD789D">
      <w:pPr>
        <w:autoSpaceDE w:val="0"/>
        <w:autoSpaceDN w:val="0"/>
        <w:adjustRightInd w:val="0"/>
        <w:spacing w:line="315" w:lineRule="atLeast"/>
        <w:jc w:val="left"/>
        <w:rPr>
          <w:rFonts w:ascii="宋体" w:hAnsi="宋体" w:cs="宋体"/>
          <w:szCs w:val="21"/>
        </w:rPr>
      </w:pPr>
    </w:p>
    <w:p w14:paraId="1CCA2EBE">
      <w:pPr>
        <w:autoSpaceDE w:val="0"/>
        <w:autoSpaceDN w:val="0"/>
        <w:adjustRightInd w:val="0"/>
        <w:spacing w:line="315" w:lineRule="atLeast"/>
        <w:jc w:val="left"/>
        <w:rPr>
          <w:rFonts w:ascii="宋体" w:hAnsi="宋体" w:cs="宋体"/>
          <w:szCs w:val="21"/>
        </w:rPr>
      </w:pPr>
    </w:p>
    <w:p w14:paraId="6909AE54">
      <w:pPr>
        <w:autoSpaceDE w:val="0"/>
        <w:autoSpaceDN w:val="0"/>
        <w:adjustRightInd w:val="0"/>
        <w:spacing w:line="315" w:lineRule="atLeast"/>
        <w:jc w:val="left"/>
        <w:rPr>
          <w:rFonts w:ascii="宋体" w:hAnsi="宋体" w:cs="宋体"/>
          <w:szCs w:val="21"/>
        </w:rPr>
      </w:pPr>
      <w:r>
        <w:rPr>
          <w:rFonts w:hint="eastAsia" w:ascii="宋体" w:hAnsi="宋体" w:cs="宋体"/>
          <w:szCs w:val="21"/>
        </w:rPr>
        <w:t>2.可转换债券</w:t>
      </w:r>
    </w:p>
    <w:p w14:paraId="4026DC1F">
      <w:pPr>
        <w:autoSpaceDE w:val="0"/>
        <w:autoSpaceDN w:val="0"/>
        <w:adjustRightInd w:val="0"/>
        <w:spacing w:line="315" w:lineRule="atLeast"/>
        <w:jc w:val="left"/>
        <w:rPr>
          <w:rFonts w:ascii="宋体" w:hAnsi="宋体" w:cs="宋体"/>
          <w:szCs w:val="21"/>
        </w:rPr>
      </w:pPr>
      <w:r>
        <w:rPr>
          <w:rFonts w:hint="eastAsia" w:ascii="宋体" w:hAnsi="宋体" w:cs="宋体"/>
          <w:szCs w:val="21"/>
        </w:rPr>
        <w:t xml:space="preserve">  </w:t>
      </w:r>
    </w:p>
    <w:p w14:paraId="56B3DE86">
      <w:pPr>
        <w:autoSpaceDE w:val="0"/>
        <w:autoSpaceDN w:val="0"/>
        <w:adjustRightInd w:val="0"/>
        <w:spacing w:line="315" w:lineRule="atLeast"/>
        <w:jc w:val="left"/>
        <w:rPr>
          <w:rFonts w:ascii="宋体" w:hAnsi="宋体" w:cs="宋体"/>
          <w:szCs w:val="21"/>
        </w:rPr>
      </w:pPr>
    </w:p>
    <w:p w14:paraId="765528CC">
      <w:pPr>
        <w:autoSpaceDE w:val="0"/>
        <w:autoSpaceDN w:val="0"/>
        <w:adjustRightInd w:val="0"/>
        <w:spacing w:line="315" w:lineRule="atLeast"/>
        <w:jc w:val="left"/>
        <w:rPr>
          <w:rFonts w:ascii="宋体" w:hAnsi="宋体" w:cs="宋体"/>
          <w:szCs w:val="21"/>
        </w:rPr>
      </w:pPr>
      <w:r>
        <w:rPr>
          <w:rFonts w:hint="eastAsia" w:ascii="宋体" w:hAnsi="宋体" w:cs="宋体"/>
          <w:szCs w:val="21"/>
        </w:rPr>
        <w:t>3.年金</w:t>
      </w:r>
    </w:p>
    <w:p w14:paraId="4F866538">
      <w:pPr>
        <w:rPr>
          <w:szCs w:val="21"/>
        </w:rPr>
      </w:pPr>
    </w:p>
    <w:p w14:paraId="4D47F2E3">
      <w:pPr>
        <w:rPr>
          <w:szCs w:val="21"/>
        </w:rPr>
      </w:pPr>
    </w:p>
    <w:p w14:paraId="766D4786">
      <w:pPr>
        <w:rPr>
          <w:szCs w:val="21"/>
        </w:rPr>
      </w:pPr>
    </w:p>
    <w:p w14:paraId="2BB6F13D">
      <w:pPr>
        <w:autoSpaceDE w:val="0"/>
        <w:autoSpaceDN w:val="0"/>
        <w:adjustRightInd w:val="0"/>
        <w:spacing w:line="315" w:lineRule="atLeast"/>
        <w:jc w:val="left"/>
        <w:rPr>
          <w:rFonts w:ascii="宋体" w:hAnsi="宋体" w:cs="宋体"/>
          <w:szCs w:val="21"/>
        </w:rPr>
      </w:pPr>
      <w:r>
        <w:rPr>
          <w:rFonts w:hint="eastAsia" w:ascii="宋体" w:hAnsi="宋体" w:cs="宋体"/>
          <w:szCs w:val="21"/>
          <w:lang w:val="en-US" w:eastAsia="zh-CN"/>
        </w:rPr>
        <w:t>4</w:t>
      </w:r>
      <w:r>
        <w:rPr>
          <w:rFonts w:hint="eastAsia" w:ascii="宋体" w:hAnsi="宋体" w:cs="宋体"/>
          <w:szCs w:val="21"/>
        </w:rPr>
        <w:t>.</w:t>
      </w:r>
      <w:r>
        <w:rPr>
          <w:rFonts w:hint="eastAsia" w:ascii="宋体" w:hAnsi="宋体"/>
          <w:szCs w:val="21"/>
        </w:rPr>
        <w:t>财务分析</w:t>
      </w:r>
    </w:p>
    <w:p w14:paraId="4E17C702">
      <w:pPr>
        <w:autoSpaceDE w:val="0"/>
        <w:autoSpaceDN w:val="0"/>
        <w:adjustRightInd w:val="0"/>
        <w:spacing w:line="315" w:lineRule="atLeast"/>
        <w:jc w:val="left"/>
        <w:rPr>
          <w:rFonts w:ascii="宋体" w:hAnsi="宋体" w:cs="宋体"/>
          <w:szCs w:val="21"/>
        </w:rPr>
      </w:pPr>
    </w:p>
    <w:p w14:paraId="5976E84C">
      <w:pPr>
        <w:autoSpaceDE w:val="0"/>
        <w:autoSpaceDN w:val="0"/>
        <w:adjustRightInd w:val="0"/>
        <w:spacing w:line="315" w:lineRule="atLeast"/>
        <w:jc w:val="left"/>
        <w:rPr>
          <w:rFonts w:ascii="宋体" w:hAnsi="宋体" w:cs="宋体"/>
          <w:szCs w:val="21"/>
        </w:rPr>
      </w:pPr>
    </w:p>
    <w:p w14:paraId="56B65A15">
      <w:pPr>
        <w:autoSpaceDE w:val="0"/>
        <w:autoSpaceDN w:val="0"/>
        <w:adjustRightInd w:val="0"/>
        <w:spacing w:line="315" w:lineRule="atLeast"/>
        <w:jc w:val="left"/>
        <w:rPr>
          <w:rFonts w:ascii="宋体" w:hAnsi="宋体" w:cs="宋体"/>
          <w:szCs w:val="21"/>
        </w:rPr>
      </w:pPr>
      <w:r>
        <w:rPr>
          <w:rFonts w:hint="eastAsia" w:ascii="宋体" w:hAnsi="宋体" w:cs="宋体"/>
          <w:szCs w:val="21"/>
          <w:lang w:val="en-US" w:eastAsia="zh-CN"/>
        </w:rPr>
        <w:t>5</w:t>
      </w:r>
      <w:r>
        <w:rPr>
          <w:rFonts w:hint="eastAsia" w:ascii="宋体" w:hAnsi="宋体" w:cs="宋体"/>
          <w:szCs w:val="21"/>
        </w:rPr>
        <w:t>.折旧</w:t>
      </w:r>
    </w:p>
    <w:p w14:paraId="73204702">
      <w:pPr>
        <w:autoSpaceDE w:val="0"/>
        <w:autoSpaceDN w:val="0"/>
        <w:adjustRightInd w:val="0"/>
        <w:spacing w:line="315" w:lineRule="atLeast"/>
        <w:jc w:val="left"/>
        <w:rPr>
          <w:rFonts w:ascii="宋体" w:hAnsi="宋体" w:cs="宋体"/>
          <w:szCs w:val="21"/>
        </w:rPr>
      </w:pPr>
      <w:r>
        <w:rPr>
          <w:rFonts w:hint="eastAsia" w:ascii="宋体" w:hAnsi="宋体" w:cs="宋体"/>
          <w:szCs w:val="21"/>
        </w:rPr>
        <w:t xml:space="preserve">  </w:t>
      </w:r>
    </w:p>
    <w:p w14:paraId="7E32EDA3">
      <w:pPr>
        <w:autoSpaceDE w:val="0"/>
        <w:autoSpaceDN w:val="0"/>
        <w:adjustRightInd w:val="0"/>
        <w:spacing w:line="315" w:lineRule="atLeast"/>
        <w:jc w:val="left"/>
        <w:rPr>
          <w:rFonts w:ascii="宋体" w:hAnsi="宋体" w:cs="宋体"/>
          <w:szCs w:val="21"/>
        </w:rPr>
      </w:pPr>
    </w:p>
    <w:p w14:paraId="084555F2">
      <w:pPr>
        <w:autoSpaceDE w:val="0"/>
        <w:autoSpaceDN w:val="0"/>
        <w:adjustRightInd w:val="0"/>
        <w:spacing w:line="315" w:lineRule="atLeast"/>
        <w:jc w:val="left"/>
        <w:rPr>
          <w:rFonts w:ascii="宋体" w:hAnsi="宋体" w:cs="宋体"/>
          <w:szCs w:val="21"/>
        </w:rPr>
      </w:pPr>
      <w:r>
        <w:rPr>
          <w:rFonts w:hint="eastAsia" w:ascii="宋体" w:hAnsi="宋体" w:cs="宋体"/>
          <w:szCs w:val="21"/>
          <w:lang w:val="en-US" w:eastAsia="zh-CN"/>
        </w:rPr>
        <w:t>6</w:t>
      </w:r>
      <w:r>
        <w:rPr>
          <w:rFonts w:hint="eastAsia" w:ascii="宋体" w:hAnsi="宋体" w:cs="宋体"/>
          <w:szCs w:val="21"/>
        </w:rPr>
        <w:t>.投资回收期</w:t>
      </w:r>
    </w:p>
    <w:p w14:paraId="281DDC98">
      <w:pPr>
        <w:rPr>
          <w:szCs w:val="21"/>
        </w:rPr>
      </w:pPr>
    </w:p>
    <w:p w14:paraId="3929C4A6">
      <w:pPr>
        <w:rPr>
          <w:szCs w:val="21"/>
        </w:rPr>
      </w:pPr>
    </w:p>
    <w:p w14:paraId="2C7E3C8C">
      <w:pPr>
        <w:rPr>
          <w:rFonts w:hint="eastAsia"/>
          <w:szCs w:val="21"/>
        </w:rPr>
      </w:pPr>
    </w:p>
    <w:p w14:paraId="7BF7862C">
      <w:pPr>
        <w:rPr>
          <w:rFonts w:eastAsiaTheme="minorEastAsia"/>
          <w:szCs w:val="21"/>
        </w:rPr>
      </w:pPr>
      <w:r>
        <w:rPr>
          <w:rFonts w:hint="eastAsia" w:asciiTheme="minorEastAsia" w:hAnsiTheme="minorEastAsia" w:eastAsiaTheme="minorEastAsia"/>
          <w:szCs w:val="21"/>
          <w:lang w:val="en-US" w:eastAsia="zh-CN"/>
        </w:rPr>
        <w:t>7</w:t>
      </w:r>
      <w:r>
        <w:rPr>
          <w:rFonts w:hint="eastAsia" w:asciiTheme="minorEastAsia" w:hAnsiTheme="minorEastAsia" w:eastAsiaTheme="minorEastAsia"/>
          <w:szCs w:val="21"/>
        </w:rPr>
        <w:t>.股利政策</w:t>
      </w:r>
    </w:p>
    <w:p w14:paraId="184AC9D2">
      <w:pPr>
        <w:rPr>
          <w:szCs w:val="21"/>
        </w:rPr>
      </w:pPr>
    </w:p>
    <w:p w14:paraId="5CC61765">
      <w:pPr>
        <w:rPr>
          <w:szCs w:val="21"/>
        </w:rPr>
      </w:pPr>
    </w:p>
    <w:p w14:paraId="4D58EAEC">
      <w:pPr>
        <w:rPr>
          <w:rFonts w:hint="eastAsia"/>
          <w:szCs w:val="21"/>
        </w:rPr>
      </w:pPr>
    </w:p>
    <w:p w14:paraId="664031C7">
      <w:pPr>
        <w:spacing w:line="320" w:lineRule="exact"/>
        <w:outlineLvl w:val="0"/>
        <w:rPr>
          <w:rFonts w:ascii="宋体" w:hAnsi="宋体"/>
          <w:b/>
          <w:color w:val="000000"/>
          <w:szCs w:val="21"/>
        </w:rPr>
      </w:pPr>
      <w:r>
        <w:rPr>
          <w:rFonts w:hint="eastAsia" w:ascii="宋体" w:hAnsi="宋体"/>
          <w:b/>
          <w:color w:val="000000"/>
          <w:szCs w:val="21"/>
        </w:rPr>
        <w:t>四、问答题</w:t>
      </w:r>
    </w:p>
    <w:p w14:paraId="05788EBA">
      <w:pPr>
        <w:spacing w:line="320" w:lineRule="exact"/>
        <w:rPr>
          <w:rFonts w:ascii="宋体" w:hAnsi="宋体" w:cs="宋体"/>
          <w:szCs w:val="21"/>
        </w:rPr>
      </w:pPr>
      <w:r>
        <w:rPr>
          <w:rFonts w:ascii="宋体" w:hAnsi="宋体" w:cs="宋体"/>
          <w:szCs w:val="21"/>
        </w:rPr>
        <w:t>1</w:t>
      </w:r>
      <w:r>
        <w:rPr>
          <w:rFonts w:hint="eastAsia" w:ascii="宋体" w:hAnsi="宋体" w:cs="宋体"/>
          <w:szCs w:val="21"/>
        </w:rPr>
        <w:t>.</w:t>
      </w:r>
      <w:r>
        <w:rPr>
          <w:rFonts w:hint="eastAsia"/>
          <w:color w:val="000000"/>
          <w:szCs w:val="21"/>
        </w:rPr>
        <w:t>融资租赁融资的优点有哪些？</w:t>
      </w:r>
    </w:p>
    <w:p w14:paraId="41274B8F">
      <w:pPr>
        <w:spacing w:line="320" w:lineRule="exact"/>
        <w:rPr>
          <w:rFonts w:ascii="宋体" w:hAnsi="宋体" w:cs="宋体"/>
          <w:szCs w:val="21"/>
        </w:rPr>
      </w:pPr>
    </w:p>
    <w:p w14:paraId="5FFF6DAE">
      <w:pPr>
        <w:spacing w:line="320" w:lineRule="exact"/>
        <w:rPr>
          <w:rFonts w:ascii="宋体" w:hAnsi="宋体" w:cs="宋体"/>
          <w:szCs w:val="21"/>
        </w:rPr>
      </w:pPr>
    </w:p>
    <w:p w14:paraId="73848DD5">
      <w:pPr>
        <w:spacing w:line="320" w:lineRule="exact"/>
        <w:rPr>
          <w:rFonts w:ascii="宋体" w:hAnsi="宋体" w:cs="宋体"/>
          <w:szCs w:val="21"/>
        </w:rPr>
      </w:pPr>
    </w:p>
    <w:p w14:paraId="55F88528">
      <w:pPr>
        <w:spacing w:line="320" w:lineRule="exact"/>
        <w:rPr>
          <w:rFonts w:ascii="宋体" w:hAnsi="宋体" w:cs="宋体"/>
          <w:szCs w:val="21"/>
        </w:rPr>
      </w:pPr>
    </w:p>
    <w:p w14:paraId="0C874AF1">
      <w:pPr>
        <w:rPr>
          <w:rFonts w:asciiTheme="minorEastAsia" w:hAnsiTheme="minorEastAsia" w:eastAsiaTheme="minorEastAsia"/>
          <w:szCs w:val="21"/>
        </w:rPr>
      </w:pPr>
    </w:p>
    <w:p w14:paraId="593653F3">
      <w:pPr>
        <w:rPr>
          <w:rFonts w:asciiTheme="minorEastAsia" w:hAnsiTheme="minorEastAsia" w:eastAsiaTheme="minorEastAsia"/>
          <w:szCs w:val="21"/>
        </w:rPr>
      </w:pPr>
    </w:p>
    <w:p w14:paraId="3E2DF588">
      <w:pPr>
        <w:rPr>
          <w:rFonts w:asciiTheme="minorEastAsia" w:hAnsiTheme="minorEastAsia" w:eastAsiaTheme="minorEastAsia"/>
          <w:szCs w:val="21"/>
        </w:rPr>
      </w:pPr>
    </w:p>
    <w:p w14:paraId="41F1577B">
      <w:pPr>
        <w:rPr>
          <w:rFonts w:asciiTheme="minorEastAsia" w:hAnsiTheme="minorEastAsia" w:eastAsiaTheme="minorEastAsia"/>
          <w:szCs w:val="21"/>
        </w:rPr>
      </w:pPr>
    </w:p>
    <w:p w14:paraId="3D0E1BA4">
      <w:pPr>
        <w:rPr>
          <w:rFonts w:asciiTheme="minorEastAsia" w:hAnsiTheme="minorEastAsia" w:eastAsiaTheme="minorEastAsia"/>
          <w:szCs w:val="21"/>
        </w:rPr>
      </w:pPr>
    </w:p>
    <w:p w14:paraId="6D4B5641">
      <w:pPr>
        <w:rPr>
          <w:rFonts w:asciiTheme="minorEastAsia" w:hAnsiTheme="minorEastAsia" w:eastAsiaTheme="minorEastAsia"/>
          <w:szCs w:val="21"/>
        </w:rPr>
      </w:pPr>
    </w:p>
    <w:p w14:paraId="013ED606">
      <w:pPr>
        <w:rPr>
          <w:rFonts w:asciiTheme="minorEastAsia" w:hAnsiTheme="minorEastAsia" w:eastAsiaTheme="minorEastAsia"/>
          <w:szCs w:val="21"/>
        </w:rPr>
      </w:pPr>
    </w:p>
    <w:p w14:paraId="42C50398">
      <w:pPr>
        <w:rPr>
          <w:rFonts w:asciiTheme="minorEastAsia" w:hAnsiTheme="minorEastAsia" w:eastAsiaTheme="minorEastAsia"/>
          <w:szCs w:val="21"/>
        </w:rPr>
      </w:pPr>
    </w:p>
    <w:p w14:paraId="7899ED68">
      <w:pPr>
        <w:spacing w:line="320" w:lineRule="exact"/>
        <w:rPr>
          <w:rFonts w:ascii="宋体" w:hAnsi="宋体" w:cs="宋体"/>
          <w:szCs w:val="21"/>
        </w:rPr>
      </w:pPr>
      <w:r>
        <w:rPr>
          <w:rFonts w:hint="eastAsia" w:ascii="宋体" w:hAnsi="宋体" w:cs="宋体"/>
          <w:szCs w:val="21"/>
          <w:lang w:val="en-US" w:eastAsia="zh-CN"/>
        </w:rPr>
        <w:t>2</w:t>
      </w:r>
      <w:r>
        <w:rPr>
          <w:rFonts w:hint="eastAsia" w:ascii="宋体" w:hAnsi="宋体" w:cs="宋体"/>
          <w:szCs w:val="21"/>
        </w:rPr>
        <w:t>.</w:t>
      </w:r>
      <w:r>
        <w:rPr>
          <w:rFonts w:hint="eastAsia" w:ascii="宋体" w:hAnsi="宋体"/>
          <w:color w:val="000000"/>
          <w:szCs w:val="21"/>
        </w:rPr>
        <w:t xml:space="preserve"> 金融投资的目的？</w:t>
      </w:r>
    </w:p>
    <w:p w14:paraId="037CE9F0">
      <w:pPr>
        <w:spacing w:line="320" w:lineRule="exact"/>
        <w:rPr>
          <w:rFonts w:ascii="宋体" w:hAnsi="宋体" w:cs="宋体"/>
          <w:szCs w:val="21"/>
        </w:rPr>
      </w:pPr>
    </w:p>
    <w:p w14:paraId="25EAD409">
      <w:pPr>
        <w:spacing w:line="320" w:lineRule="exact"/>
        <w:rPr>
          <w:rFonts w:ascii="宋体" w:hAnsi="宋体" w:cs="宋体"/>
          <w:szCs w:val="21"/>
        </w:rPr>
      </w:pPr>
    </w:p>
    <w:p w14:paraId="1F95C335">
      <w:pPr>
        <w:spacing w:line="320" w:lineRule="exact"/>
        <w:rPr>
          <w:rFonts w:ascii="宋体" w:hAnsi="宋体" w:cs="宋体"/>
          <w:szCs w:val="21"/>
        </w:rPr>
      </w:pPr>
    </w:p>
    <w:p w14:paraId="0D89C0F7">
      <w:pPr>
        <w:spacing w:line="320" w:lineRule="exact"/>
        <w:rPr>
          <w:rFonts w:ascii="宋体" w:hAnsi="宋体" w:cs="宋体"/>
          <w:szCs w:val="21"/>
        </w:rPr>
      </w:pPr>
    </w:p>
    <w:p w14:paraId="4CC5A9CA">
      <w:pPr>
        <w:spacing w:line="320" w:lineRule="exact"/>
        <w:rPr>
          <w:rFonts w:ascii="宋体" w:hAnsi="宋体" w:cs="宋体"/>
          <w:szCs w:val="21"/>
        </w:rPr>
      </w:pPr>
    </w:p>
    <w:p w14:paraId="5024C1B3">
      <w:pPr>
        <w:spacing w:line="320" w:lineRule="exact"/>
        <w:rPr>
          <w:rFonts w:ascii="宋体" w:hAnsi="宋体" w:cs="宋体"/>
          <w:szCs w:val="21"/>
        </w:rPr>
      </w:pPr>
    </w:p>
    <w:p w14:paraId="4BE0B5E5">
      <w:pPr>
        <w:spacing w:line="320" w:lineRule="exact"/>
        <w:rPr>
          <w:rFonts w:ascii="宋体" w:hAnsi="宋体" w:cs="宋体"/>
          <w:szCs w:val="21"/>
        </w:rPr>
      </w:pPr>
    </w:p>
    <w:p w14:paraId="6B33618D">
      <w:pPr>
        <w:spacing w:line="320" w:lineRule="exact"/>
        <w:rPr>
          <w:rFonts w:ascii="宋体" w:hAnsi="宋体" w:cs="宋体"/>
          <w:szCs w:val="21"/>
        </w:rPr>
      </w:pPr>
    </w:p>
    <w:p w14:paraId="61EB727A">
      <w:pPr>
        <w:spacing w:line="320" w:lineRule="exact"/>
        <w:rPr>
          <w:rFonts w:hint="eastAsia" w:ascii="宋体" w:hAnsi="宋体" w:cs="宋体"/>
          <w:szCs w:val="21"/>
        </w:rPr>
      </w:pPr>
    </w:p>
    <w:p w14:paraId="75AB1EAF">
      <w:pPr>
        <w:spacing w:line="320" w:lineRule="exact"/>
        <w:rPr>
          <w:rFonts w:ascii="宋体" w:hAnsi="宋体" w:cs="宋体"/>
          <w:szCs w:val="21"/>
        </w:rPr>
      </w:pPr>
      <w:r>
        <w:rPr>
          <w:rFonts w:hint="eastAsia" w:ascii="宋体" w:hAnsi="宋体" w:cs="宋体"/>
          <w:szCs w:val="21"/>
          <w:lang w:val="en-US" w:eastAsia="zh-CN"/>
        </w:rPr>
        <w:t>3</w:t>
      </w:r>
      <w:r>
        <w:rPr>
          <w:rFonts w:hint="eastAsia" w:ascii="宋体" w:hAnsi="宋体" w:cs="宋体"/>
          <w:szCs w:val="21"/>
        </w:rPr>
        <w:t>.如果你是财务经理，如何看待负债</w:t>
      </w:r>
      <w:r>
        <w:rPr>
          <w:rFonts w:hint="eastAsia"/>
          <w:szCs w:val="21"/>
        </w:rPr>
        <w:t>。</w:t>
      </w:r>
    </w:p>
    <w:p w14:paraId="34F68B71">
      <w:pPr>
        <w:rPr>
          <w:rFonts w:asciiTheme="minorEastAsia" w:hAnsiTheme="minorEastAsia" w:eastAsiaTheme="minorEastAsia"/>
          <w:szCs w:val="21"/>
        </w:rPr>
      </w:pPr>
    </w:p>
    <w:p w14:paraId="0003E380">
      <w:pPr>
        <w:rPr>
          <w:rFonts w:asciiTheme="minorEastAsia" w:hAnsiTheme="minorEastAsia" w:eastAsiaTheme="minorEastAsia"/>
          <w:szCs w:val="21"/>
        </w:rPr>
      </w:pPr>
    </w:p>
    <w:p w14:paraId="1F31B35F">
      <w:pPr>
        <w:rPr>
          <w:rFonts w:asciiTheme="minorEastAsia" w:hAnsiTheme="minorEastAsia" w:eastAsiaTheme="minorEastAsia"/>
          <w:szCs w:val="21"/>
        </w:rPr>
      </w:pPr>
    </w:p>
    <w:p w14:paraId="40C54AF4">
      <w:pPr>
        <w:rPr>
          <w:rFonts w:asciiTheme="minorEastAsia" w:hAnsiTheme="minorEastAsia" w:eastAsiaTheme="minorEastAsia"/>
          <w:szCs w:val="21"/>
        </w:rPr>
      </w:pPr>
    </w:p>
    <w:p w14:paraId="22E76EF7">
      <w:pPr>
        <w:rPr>
          <w:rFonts w:asciiTheme="minorEastAsia" w:hAnsiTheme="minorEastAsia" w:eastAsiaTheme="minorEastAsia"/>
          <w:szCs w:val="21"/>
        </w:rPr>
      </w:pPr>
    </w:p>
    <w:p w14:paraId="1D24977A">
      <w:pPr>
        <w:rPr>
          <w:rFonts w:asciiTheme="minorEastAsia" w:hAnsiTheme="minorEastAsia" w:eastAsiaTheme="minorEastAsia"/>
          <w:szCs w:val="21"/>
        </w:rPr>
      </w:pPr>
    </w:p>
    <w:p w14:paraId="6C07832E">
      <w:pPr>
        <w:rPr>
          <w:rFonts w:asciiTheme="minorEastAsia" w:hAnsiTheme="minorEastAsia" w:eastAsiaTheme="minorEastAsia"/>
          <w:szCs w:val="21"/>
        </w:rPr>
      </w:pPr>
    </w:p>
    <w:p w14:paraId="6F81A256">
      <w:pPr>
        <w:rPr>
          <w:rFonts w:asciiTheme="minorEastAsia" w:hAnsiTheme="minorEastAsia" w:eastAsiaTheme="minorEastAsia"/>
          <w:szCs w:val="21"/>
        </w:rPr>
      </w:pPr>
    </w:p>
    <w:p w14:paraId="45370F47">
      <w:pPr>
        <w:spacing w:line="320" w:lineRule="exact"/>
        <w:outlineLvl w:val="0"/>
        <w:rPr>
          <w:rFonts w:ascii="宋体" w:hAnsi="宋体"/>
          <w:b/>
          <w:color w:val="000000"/>
          <w:szCs w:val="21"/>
        </w:rPr>
      </w:pPr>
      <w:r>
        <w:rPr>
          <w:rFonts w:hint="eastAsia" w:ascii="宋体" w:hAnsi="宋体"/>
          <w:b/>
          <w:color w:val="000000"/>
          <w:szCs w:val="21"/>
        </w:rPr>
        <w:t>五、计算与案例分析题（要求有计算分析过程，得数保留到小数点后面两位）</w:t>
      </w:r>
    </w:p>
    <w:p w14:paraId="504B7839">
      <w:pPr>
        <w:pStyle w:val="2"/>
        <w:tabs>
          <w:tab w:val="left" w:pos="840"/>
        </w:tabs>
        <w:spacing w:before="0" w:beforeAutospacing="0" w:after="0" w:afterAutospacing="0"/>
        <w:rPr>
          <w:sz w:val="21"/>
          <w:szCs w:val="21"/>
        </w:rPr>
      </w:pPr>
      <w:r>
        <w:rPr>
          <w:rFonts w:hint="eastAsia"/>
          <w:color w:val="000000"/>
          <w:sz w:val="21"/>
          <w:szCs w:val="21"/>
        </w:rPr>
        <w:t>1.</w:t>
      </w:r>
      <w:r>
        <w:rPr>
          <w:rFonts w:hint="eastAsia"/>
          <w:sz w:val="21"/>
          <w:szCs w:val="21"/>
        </w:rPr>
        <w:t>某企业全年需采购甲材料3600吨，甲材料每吨进价1500元，每次订货成本1800元，每吨甲材料年平均储存保管费用为100元。</w:t>
      </w:r>
    </w:p>
    <w:p w14:paraId="4FD88EF7">
      <w:pPr>
        <w:pStyle w:val="2"/>
        <w:tabs>
          <w:tab w:val="left" w:pos="840"/>
        </w:tabs>
        <w:spacing w:before="0" w:beforeAutospacing="0" w:after="0" w:afterAutospacing="0"/>
        <w:rPr>
          <w:bCs/>
          <w:color w:val="000000"/>
          <w:sz w:val="21"/>
          <w:szCs w:val="21"/>
        </w:rPr>
      </w:pPr>
      <w:r>
        <w:rPr>
          <w:rFonts w:hint="eastAsia"/>
          <w:sz w:val="21"/>
          <w:szCs w:val="21"/>
        </w:rPr>
        <w:t>要求：计算甲材料经济订货批量和全年订货次数。</w:t>
      </w:r>
    </w:p>
    <w:p w14:paraId="0A8A8B41">
      <w:pPr>
        <w:pStyle w:val="2"/>
        <w:tabs>
          <w:tab w:val="left" w:pos="840"/>
        </w:tabs>
        <w:spacing w:before="0" w:beforeAutospacing="0" w:after="0" w:afterAutospacing="0"/>
        <w:rPr>
          <w:bCs/>
          <w:color w:val="000000"/>
          <w:sz w:val="21"/>
        </w:rPr>
      </w:pPr>
    </w:p>
    <w:p w14:paraId="0CF03E95">
      <w:pPr>
        <w:pStyle w:val="2"/>
        <w:tabs>
          <w:tab w:val="left" w:pos="840"/>
        </w:tabs>
        <w:spacing w:before="0" w:beforeAutospacing="0" w:after="0" w:afterAutospacing="0"/>
        <w:rPr>
          <w:bCs/>
          <w:color w:val="000000"/>
          <w:sz w:val="21"/>
        </w:rPr>
      </w:pPr>
    </w:p>
    <w:p w14:paraId="499A5D62">
      <w:pPr>
        <w:pStyle w:val="2"/>
        <w:tabs>
          <w:tab w:val="left" w:pos="840"/>
        </w:tabs>
        <w:spacing w:before="0" w:beforeAutospacing="0" w:after="0" w:afterAutospacing="0"/>
        <w:rPr>
          <w:bCs/>
          <w:color w:val="000000"/>
          <w:sz w:val="21"/>
        </w:rPr>
      </w:pPr>
    </w:p>
    <w:p w14:paraId="5F4ACA38">
      <w:pPr>
        <w:pStyle w:val="2"/>
        <w:tabs>
          <w:tab w:val="left" w:pos="840"/>
        </w:tabs>
        <w:spacing w:before="0" w:beforeAutospacing="0" w:after="0" w:afterAutospacing="0"/>
        <w:rPr>
          <w:bCs/>
          <w:color w:val="000000"/>
          <w:sz w:val="21"/>
        </w:rPr>
      </w:pPr>
    </w:p>
    <w:p w14:paraId="50D0376D">
      <w:pPr>
        <w:pStyle w:val="2"/>
        <w:tabs>
          <w:tab w:val="left" w:pos="840"/>
        </w:tabs>
        <w:spacing w:before="0" w:beforeAutospacing="0" w:after="0" w:afterAutospacing="0"/>
        <w:rPr>
          <w:bCs/>
          <w:color w:val="000000"/>
          <w:sz w:val="21"/>
        </w:rPr>
      </w:pPr>
    </w:p>
    <w:p w14:paraId="4AA79226">
      <w:pPr>
        <w:pStyle w:val="2"/>
        <w:tabs>
          <w:tab w:val="left" w:pos="840"/>
        </w:tabs>
        <w:spacing w:before="0" w:beforeAutospacing="0" w:after="0" w:afterAutospacing="0"/>
        <w:rPr>
          <w:bCs/>
          <w:color w:val="000000"/>
          <w:sz w:val="21"/>
        </w:rPr>
      </w:pPr>
    </w:p>
    <w:p w14:paraId="3843614F">
      <w:pPr>
        <w:pStyle w:val="2"/>
        <w:tabs>
          <w:tab w:val="left" w:pos="840"/>
        </w:tabs>
        <w:spacing w:before="0" w:beforeAutospacing="0" w:after="0" w:afterAutospacing="0"/>
        <w:rPr>
          <w:bCs/>
          <w:color w:val="000000"/>
          <w:sz w:val="21"/>
        </w:rPr>
      </w:pPr>
    </w:p>
    <w:p w14:paraId="2BC59320">
      <w:pPr>
        <w:pStyle w:val="2"/>
        <w:tabs>
          <w:tab w:val="left" w:pos="840"/>
        </w:tabs>
        <w:spacing w:before="0" w:beforeAutospacing="0" w:after="0" w:afterAutospacing="0"/>
        <w:rPr>
          <w:bCs/>
          <w:color w:val="000000"/>
          <w:sz w:val="21"/>
        </w:rPr>
      </w:pPr>
    </w:p>
    <w:p w14:paraId="51381F6F">
      <w:pPr>
        <w:pStyle w:val="2"/>
        <w:tabs>
          <w:tab w:val="left" w:pos="840"/>
        </w:tabs>
        <w:spacing w:before="0" w:beforeAutospacing="0" w:after="0" w:afterAutospacing="0"/>
        <w:rPr>
          <w:bCs/>
          <w:color w:val="000000"/>
          <w:sz w:val="21"/>
        </w:rPr>
      </w:pPr>
    </w:p>
    <w:p w14:paraId="2CECABBF">
      <w:pPr>
        <w:pStyle w:val="2"/>
        <w:tabs>
          <w:tab w:val="left" w:pos="840"/>
        </w:tabs>
        <w:spacing w:before="0" w:beforeAutospacing="0" w:after="0" w:afterAutospacing="0"/>
        <w:rPr>
          <w:bCs/>
          <w:color w:val="000000"/>
          <w:sz w:val="21"/>
        </w:rPr>
      </w:pPr>
    </w:p>
    <w:p w14:paraId="3E63AEB4">
      <w:pPr>
        <w:pStyle w:val="2"/>
        <w:tabs>
          <w:tab w:val="left" w:pos="840"/>
        </w:tabs>
        <w:spacing w:before="0" w:beforeAutospacing="0" w:after="0" w:afterAutospacing="0"/>
        <w:rPr>
          <w:bCs/>
          <w:color w:val="000000"/>
          <w:sz w:val="21"/>
        </w:rPr>
      </w:pPr>
    </w:p>
    <w:p w14:paraId="3713CA21">
      <w:pPr>
        <w:pStyle w:val="2"/>
        <w:tabs>
          <w:tab w:val="left" w:pos="840"/>
        </w:tabs>
        <w:spacing w:before="0" w:beforeAutospacing="0" w:after="0" w:afterAutospacing="0"/>
        <w:rPr>
          <w:bCs/>
          <w:color w:val="000000"/>
          <w:sz w:val="21"/>
        </w:rPr>
      </w:pPr>
    </w:p>
    <w:p w14:paraId="227AE24F">
      <w:pPr>
        <w:pStyle w:val="2"/>
        <w:tabs>
          <w:tab w:val="left" w:pos="840"/>
        </w:tabs>
        <w:spacing w:before="0" w:beforeAutospacing="0" w:after="0" w:afterAutospacing="0"/>
        <w:rPr>
          <w:bCs/>
          <w:color w:val="000000"/>
          <w:sz w:val="21"/>
        </w:rPr>
      </w:pPr>
    </w:p>
    <w:p w14:paraId="0C10A3CE">
      <w:pPr>
        <w:pStyle w:val="2"/>
        <w:tabs>
          <w:tab w:val="left" w:pos="840"/>
        </w:tabs>
        <w:spacing w:before="0" w:beforeAutospacing="0" w:after="0" w:afterAutospacing="0"/>
        <w:rPr>
          <w:bCs/>
          <w:color w:val="000000"/>
          <w:sz w:val="21"/>
        </w:rPr>
      </w:pPr>
    </w:p>
    <w:p w14:paraId="4E23703D">
      <w:pPr>
        <w:pStyle w:val="2"/>
        <w:tabs>
          <w:tab w:val="left" w:pos="840"/>
        </w:tabs>
        <w:spacing w:before="0" w:beforeAutospacing="0" w:after="0" w:afterAutospacing="0"/>
        <w:rPr>
          <w:bCs/>
          <w:color w:val="000000"/>
          <w:sz w:val="21"/>
        </w:rPr>
      </w:pPr>
    </w:p>
    <w:p w14:paraId="77D0093B">
      <w:pPr>
        <w:pStyle w:val="2"/>
        <w:tabs>
          <w:tab w:val="left" w:pos="840"/>
        </w:tabs>
        <w:spacing w:before="0" w:beforeAutospacing="0" w:after="0" w:afterAutospacing="0"/>
        <w:rPr>
          <w:bCs/>
          <w:color w:val="000000"/>
          <w:sz w:val="21"/>
        </w:rPr>
      </w:pPr>
    </w:p>
    <w:p w14:paraId="7CBC479D">
      <w:pPr>
        <w:pStyle w:val="2"/>
        <w:tabs>
          <w:tab w:val="left" w:pos="840"/>
        </w:tabs>
        <w:spacing w:before="0" w:beforeAutospacing="0" w:after="0" w:afterAutospacing="0"/>
        <w:rPr>
          <w:bCs/>
          <w:color w:val="000000"/>
          <w:sz w:val="21"/>
        </w:rPr>
      </w:pPr>
    </w:p>
    <w:p w14:paraId="5A9F7DC0">
      <w:pPr>
        <w:pStyle w:val="2"/>
        <w:tabs>
          <w:tab w:val="left" w:pos="840"/>
        </w:tabs>
        <w:spacing w:before="0" w:beforeAutospacing="0" w:after="0" w:afterAutospacing="0"/>
        <w:rPr>
          <w:bCs/>
          <w:color w:val="000000"/>
          <w:sz w:val="21"/>
        </w:rPr>
      </w:pPr>
    </w:p>
    <w:p w14:paraId="40BD66CF">
      <w:pPr>
        <w:pStyle w:val="2"/>
        <w:tabs>
          <w:tab w:val="left" w:pos="840"/>
        </w:tabs>
        <w:spacing w:before="0" w:beforeAutospacing="0" w:after="0" w:afterAutospacing="0"/>
        <w:rPr>
          <w:bCs/>
          <w:color w:val="000000"/>
          <w:sz w:val="21"/>
        </w:rPr>
      </w:pPr>
    </w:p>
    <w:p w14:paraId="1F4CBCB6">
      <w:pPr>
        <w:pStyle w:val="2"/>
        <w:tabs>
          <w:tab w:val="left" w:pos="840"/>
        </w:tabs>
        <w:spacing w:before="0" w:beforeAutospacing="0" w:after="0" w:afterAutospacing="0"/>
        <w:rPr>
          <w:bCs/>
          <w:color w:val="000000"/>
          <w:sz w:val="21"/>
        </w:rPr>
      </w:pPr>
    </w:p>
    <w:p w14:paraId="12635E3F">
      <w:pPr>
        <w:pStyle w:val="2"/>
        <w:tabs>
          <w:tab w:val="left" w:pos="840"/>
        </w:tabs>
        <w:spacing w:before="0" w:beforeAutospacing="0" w:after="0" w:afterAutospacing="0"/>
        <w:rPr>
          <w:bCs/>
          <w:color w:val="000000"/>
          <w:sz w:val="21"/>
        </w:rPr>
      </w:pPr>
    </w:p>
    <w:p w14:paraId="7C1A4E78">
      <w:pPr>
        <w:pStyle w:val="2"/>
        <w:tabs>
          <w:tab w:val="left" w:pos="840"/>
        </w:tabs>
        <w:spacing w:before="0" w:beforeAutospacing="0" w:after="0" w:afterAutospacing="0"/>
        <w:rPr>
          <w:bCs/>
          <w:color w:val="000000"/>
          <w:sz w:val="21"/>
        </w:rPr>
      </w:pPr>
    </w:p>
    <w:p w14:paraId="300EDD14">
      <w:pPr>
        <w:pStyle w:val="2"/>
        <w:tabs>
          <w:tab w:val="left" w:pos="840"/>
        </w:tabs>
        <w:spacing w:before="0" w:beforeAutospacing="0" w:after="0" w:afterAutospacing="0"/>
        <w:rPr>
          <w:rFonts w:hint="eastAsia"/>
          <w:bCs/>
          <w:color w:val="000000"/>
          <w:sz w:val="21"/>
        </w:rPr>
      </w:pPr>
    </w:p>
    <w:p w14:paraId="0C705031">
      <w:pPr>
        <w:pStyle w:val="2"/>
        <w:tabs>
          <w:tab w:val="left" w:pos="840"/>
        </w:tabs>
        <w:spacing w:before="0" w:beforeAutospacing="0" w:after="0" w:afterAutospacing="0"/>
        <w:rPr>
          <w:rFonts w:ascii="Arial" w:hAnsi="Arial" w:cs="Arial"/>
          <w:bCs/>
          <w:sz w:val="21"/>
          <w:szCs w:val="21"/>
        </w:rPr>
      </w:pPr>
      <w:r>
        <w:rPr>
          <w:rFonts w:hint="eastAsia"/>
          <w:bCs/>
          <w:szCs w:val="21"/>
        </w:rPr>
        <w:t>2.</w:t>
      </w:r>
      <w:r>
        <w:rPr>
          <w:rFonts w:hint="eastAsia"/>
          <w:bCs/>
          <w:sz w:val="21"/>
          <w:szCs w:val="21"/>
        </w:rPr>
        <w:t>某投资者2021年欲购买股票，现有A、B两家公司可供选择。从两家公司的年报资料中可知：A公司税后净利80000万元，发放股利0.5元/股，市盈率5倍，发行在外的股票数量为100，000万股，每股面值1元；B公司税后净利润2000万元，发放股利0.2元/股，市盈率6倍，发行在外的股票数量为5000万股，每股面值1元。预期A公司未来5年股利恒定，此后转为正常增长，增长率为6%；预期B公司股利将持续增长，年增长率为4%。目前国债收益率为8%，股票市场平均收益率为12%，A股票的</w:t>
      </w:r>
      <w:r>
        <w:rPr>
          <w:rFonts w:ascii="Arial" w:hAnsi="Arial" w:cs="Arial"/>
          <w:bCs/>
          <w:sz w:val="21"/>
          <w:szCs w:val="21"/>
        </w:rPr>
        <w:t>β</w:t>
      </w:r>
      <w:r>
        <w:rPr>
          <w:rFonts w:hint="eastAsia" w:ascii="Arial" w:hAnsi="Arial" w:cs="Arial"/>
          <w:bCs/>
          <w:sz w:val="21"/>
          <w:szCs w:val="21"/>
        </w:rPr>
        <w:t>系数为2，B股票的</w:t>
      </w:r>
      <w:r>
        <w:rPr>
          <w:rFonts w:ascii="Arial" w:hAnsi="Arial" w:cs="Arial"/>
          <w:bCs/>
          <w:sz w:val="21"/>
          <w:szCs w:val="21"/>
        </w:rPr>
        <w:t>β</w:t>
      </w:r>
      <w:r>
        <w:rPr>
          <w:rFonts w:hint="eastAsia" w:ascii="Arial" w:hAnsi="Arial" w:cs="Arial"/>
          <w:bCs/>
          <w:sz w:val="21"/>
          <w:szCs w:val="21"/>
        </w:rPr>
        <w:t>系数为1.5。  要求：</w:t>
      </w:r>
    </w:p>
    <w:p w14:paraId="405C42D5">
      <w:pPr>
        <w:pStyle w:val="2"/>
        <w:tabs>
          <w:tab w:val="left" w:pos="840"/>
        </w:tabs>
        <w:spacing w:before="0" w:beforeAutospacing="0" w:after="0" w:afterAutospacing="0"/>
        <w:rPr>
          <w:rFonts w:ascii="Arial" w:hAnsi="Arial" w:cs="Arial"/>
          <w:bCs/>
          <w:sz w:val="21"/>
          <w:szCs w:val="21"/>
        </w:rPr>
      </w:pPr>
      <w:r>
        <w:rPr>
          <w:rFonts w:hint="eastAsia" w:ascii="Arial" w:hAnsi="Arial" w:cs="Arial"/>
          <w:bCs/>
          <w:sz w:val="21"/>
          <w:szCs w:val="21"/>
        </w:rPr>
        <w:t>（1）计算A、B股票的内在价值；</w:t>
      </w:r>
    </w:p>
    <w:p w14:paraId="2364A48C">
      <w:pPr>
        <w:pStyle w:val="2"/>
        <w:tabs>
          <w:tab w:val="left" w:pos="840"/>
        </w:tabs>
        <w:spacing w:before="0" w:beforeAutospacing="0" w:after="0" w:afterAutospacing="0"/>
        <w:rPr>
          <w:rFonts w:ascii="Arial" w:hAnsi="Arial" w:cs="Arial"/>
          <w:bCs/>
          <w:sz w:val="21"/>
          <w:szCs w:val="21"/>
        </w:rPr>
      </w:pPr>
      <w:r>
        <w:rPr>
          <w:rFonts w:hint="eastAsia" w:ascii="Arial" w:hAnsi="Arial" w:cs="Arial"/>
          <w:bCs/>
          <w:sz w:val="21"/>
          <w:szCs w:val="21"/>
        </w:rPr>
        <w:t>（2）计算A、B股票的市场价格，并判断是否值得投资。</w:t>
      </w:r>
    </w:p>
    <w:p w14:paraId="56AD110C">
      <w:pPr>
        <w:pStyle w:val="2"/>
        <w:tabs>
          <w:tab w:val="left" w:pos="840"/>
        </w:tabs>
        <w:spacing w:before="0" w:beforeAutospacing="0" w:after="0" w:afterAutospacing="0"/>
        <w:rPr>
          <w:rFonts w:ascii="Arial" w:hAnsi="Arial" w:cs="Arial"/>
          <w:bCs/>
          <w:sz w:val="21"/>
          <w:szCs w:val="21"/>
        </w:rPr>
      </w:pPr>
      <w:r>
        <w:rPr>
          <w:rFonts w:hint="eastAsia" w:ascii="Arial" w:hAnsi="Arial" w:cs="Arial"/>
          <w:bCs/>
          <w:sz w:val="21"/>
          <w:szCs w:val="21"/>
        </w:rPr>
        <w:t>（3）若投资者购买这两种股票各1000股，该投资组合的</w:t>
      </w:r>
      <w:r>
        <w:rPr>
          <w:rFonts w:ascii="Arial" w:hAnsi="Arial" w:cs="Arial"/>
          <w:bCs/>
          <w:sz w:val="21"/>
          <w:szCs w:val="21"/>
        </w:rPr>
        <w:t>β</w:t>
      </w:r>
      <w:r>
        <w:rPr>
          <w:rFonts w:hint="eastAsia" w:ascii="Arial" w:hAnsi="Arial" w:cs="Arial"/>
          <w:bCs/>
          <w:sz w:val="21"/>
          <w:szCs w:val="21"/>
        </w:rPr>
        <w:t>系数是多少？预期报酬率是多少？</w:t>
      </w:r>
      <w:bookmarkStart w:id="0" w:name="_GoBack"/>
      <w:bookmarkEnd w:id="0"/>
    </w:p>
    <w:p w14:paraId="433961EC">
      <w:pPr>
        <w:pStyle w:val="2"/>
        <w:tabs>
          <w:tab w:val="left" w:pos="840"/>
        </w:tabs>
        <w:spacing w:before="0" w:beforeAutospacing="0" w:after="0" w:afterAutospacing="0"/>
        <w:rPr>
          <w:sz w:val="21"/>
          <w:szCs w:val="21"/>
        </w:rPr>
      </w:pPr>
    </w:p>
    <w:p w14:paraId="3FAD8D88">
      <w:pPr>
        <w:jc w:val="left"/>
        <w:rPr>
          <w:rFonts w:ascii="宋体" w:hAnsi="宋体"/>
          <w:bCs/>
          <w:kern w:val="0"/>
          <w:szCs w:val="21"/>
        </w:rPr>
      </w:pPr>
    </w:p>
    <w:p w14:paraId="43EEC58E">
      <w:pPr>
        <w:tabs>
          <w:tab w:val="left" w:pos="4253"/>
        </w:tabs>
        <w:rPr>
          <w:rFonts w:ascii="宋体" w:hAnsi="宋体"/>
          <w:color w:val="000000"/>
          <w:szCs w:val="21"/>
        </w:rPr>
      </w:pPr>
    </w:p>
    <w:p w14:paraId="4F6E48B3">
      <w:pPr>
        <w:spacing w:line="400" w:lineRule="exact"/>
      </w:pPr>
    </w:p>
    <w:p w14:paraId="5D2D766D">
      <w:pPr>
        <w:spacing w:line="400" w:lineRule="exact"/>
      </w:pPr>
    </w:p>
    <w:p w14:paraId="59D68C9A">
      <w:pPr>
        <w:spacing w:line="400" w:lineRule="exact"/>
      </w:pPr>
    </w:p>
    <w:p w14:paraId="1F9019D3">
      <w:pPr>
        <w:spacing w:line="400" w:lineRule="exact"/>
      </w:pPr>
    </w:p>
    <w:p w14:paraId="238D8CEF">
      <w:pPr>
        <w:spacing w:line="400" w:lineRule="exact"/>
      </w:pPr>
    </w:p>
    <w:p w14:paraId="405A2B20">
      <w:pPr>
        <w:spacing w:line="400" w:lineRule="exact"/>
      </w:pPr>
    </w:p>
    <w:p w14:paraId="129B8E13">
      <w:pPr>
        <w:spacing w:line="400" w:lineRule="exact"/>
      </w:pPr>
    </w:p>
    <w:p w14:paraId="579F3394">
      <w:pPr>
        <w:spacing w:line="400" w:lineRule="exact"/>
      </w:pPr>
    </w:p>
    <w:p w14:paraId="28604920">
      <w:pPr>
        <w:rPr>
          <w:rFonts w:ascii="宋体" w:hAnsi="宋体"/>
        </w:rPr>
      </w:pPr>
    </w:p>
    <w:p w14:paraId="58FA2C85">
      <w:pPr>
        <w:rPr>
          <w:color w:val="000000"/>
          <w:szCs w:val="21"/>
        </w:rPr>
      </w:pPr>
      <w:r>
        <w:rPr>
          <w:color w:val="000000"/>
          <w:szCs w:val="21"/>
        </w:rPr>
        <w:t>3</w:t>
      </w:r>
      <w:r>
        <w:rPr>
          <w:rFonts w:hint="eastAsia"/>
          <w:color w:val="000000"/>
          <w:szCs w:val="21"/>
        </w:rPr>
        <w:t>.</w:t>
      </w:r>
      <w:r>
        <w:rPr>
          <w:rFonts w:hint="eastAsia"/>
          <w:bCs/>
          <w:color w:val="000000"/>
        </w:rPr>
        <w:t xml:space="preserve"> </w:t>
      </w:r>
      <w:r>
        <w:rPr>
          <w:rFonts w:hint="eastAsia"/>
          <w:color w:val="000000"/>
          <w:szCs w:val="21"/>
        </w:rPr>
        <w:t>亚力公司每年耗用钢材4500吨，该钢材的计划单价为每吨2000元，每次订货成本1500元，每吨钢材的储存成本平均每年150元。要求确定：</w:t>
      </w:r>
    </w:p>
    <w:p w14:paraId="30CB0824">
      <w:pPr>
        <w:spacing w:line="320" w:lineRule="exact"/>
        <w:rPr>
          <w:color w:val="000000"/>
          <w:szCs w:val="21"/>
        </w:rPr>
      </w:pPr>
      <w:r>
        <w:rPr>
          <w:rFonts w:hint="eastAsia"/>
          <w:color w:val="000000"/>
          <w:szCs w:val="21"/>
        </w:rPr>
        <w:t>（1）最佳经济批量；</w:t>
      </w:r>
      <w:r>
        <w:rPr>
          <w:color w:val="000000"/>
          <w:szCs w:val="21"/>
        </w:rPr>
        <w:t>（）</w:t>
      </w:r>
    </w:p>
    <w:p w14:paraId="13871D97">
      <w:pPr>
        <w:spacing w:line="320" w:lineRule="exact"/>
        <w:rPr>
          <w:color w:val="000000"/>
          <w:szCs w:val="21"/>
        </w:rPr>
      </w:pPr>
      <w:r>
        <w:rPr>
          <w:rFonts w:hint="eastAsia"/>
          <w:color w:val="000000"/>
          <w:szCs w:val="21"/>
        </w:rPr>
        <w:t>（2）每年最佳订货次数、订货周期（1年按360天计）；</w:t>
      </w:r>
      <w:r>
        <w:rPr>
          <w:color w:val="000000"/>
          <w:szCs w:val="21"/>
        </w:rPr>
        <w:t>（）</w:t>
      </w:r>
    </w:p>
    <w:p w14:paraId="4469C4EB">
      <w:pPr>
        <w:rPr>
          <w:color w:val="000000"/>
          <w:szCs w:val="21"/>
        </w:rPr>
      </w:pPr>
      <w:r>
        <w:rPr>
          <w:rFonts w:hint="eastAsia"/>
          <w:color w:val="000000"/>
          <w:szCs w:val="21"/>
        </w:rPr>
        <w:t>（3）经济批量的变动总成本、经济批量的平均资金占用额。</w:t>
      </w:r>
      <w:r>
        <w:rPr>
          <w:color w:val="000000"/>
          <w:szCs w:val="21"/>
        </w:rPr>
        <w:t>（）</w:t>
      </w:r>
    </w:p>
    <w:p w14:paraId="27888763">
      <w:pPr>
        <w:ind w:firstLine="420" w:firstLineChars="200"/>
        <w:rPr>
          <w:szCs w:val="21"/>
        </w:rPr>
      </w:pPr>
    </w:p>
    <w:p w14:paraId="5969272A">
      <w:pPr>
        <w:jc w:val="left"/>
        <w:rPr>
          <w:rFonts w:ascii="宋体" w:hAnsi="宋体"/>
          <w:bCs/>
          <w:kern w:val="0"/>
          <w:szCs w:val="21"/>
        </w:rPr>
      </w:pPr>
    </w:p>
    <w:p w14:paraId="21DA554C">
      <w:pPr>
        <w:tabs>
          <w:tab w:val="left" w:pos="4253"/>
        </w:tabs>
        <w:rPr>
          <w:rFonts w:ascii="宋体" w:hAnsi="宋体"/>
          <w:color w:val="000000"/>
          <w:szCs w:val="21"/>
        </w:rPr>
      </w:pPr>
    </w:p>
    <w:p w14:paraId="6CF528C7">
      <w:pPr>
        <w:spacing w:line="400" w:lineRule="exact"/>
      </w:pPr>
    </w:p>
    <w:p w14:paraId="0F8E3BCB">
      <w:pPr>
        <w:spacing w:line="400" w:lineRule="exact"/>
      </w:pPr>
    </w:p>
    <w:p w14:paraId="147CB658">
      <w:pPr>
        <w:spacing w:line="400" w:lineRule="exact"/>
      </w:pPr>
    </w:p>
    <w:p w14:paraId="12998F08">
      <w:pPr>
        <w:spacing w:line="400" w:lineRule="exact"/>
      </w:pPr>
    </w:p>
    <w:p w14:paraId="656267EF">
      <w:pPr>
        <w:spacing w:line="400" w:lineRule="exact"/>
      </w:pPr>
    </w:p>
    <w:p w14:paraId="2D9FD25E">
      <w:pPr>
        <w:spacing w:line="400" w:lineRule="exact"/>
      </w:pPr>
    </w:p>
    <w:p w14:paraId="691A606A">
      <w:pPr>
        <w:spacing w:line="400" w:lineRule="exact"/>
      </w:pPr>
    </w:p>
    <w:p w14:paraId="4CB4E35C">
      <w:pPr>
        <w:spacing w:line="400" w:lineRule="exact"/>
      </w:pPr>
    </w:p>
    <w:p w14:paraId="352A5034">
      <w:pPr>
        <w:rPr>
          <w:rFonts w:asciiTheme="minorEastAsia" w:hAnsiTheme="minorEastAsia" w:eastAsiaTheme="minorEastAsia"/>
          <w:szCs w:val="21"/>
        </w:rPr>
      </w:pPr>
    </w:p>
    <w:p w14:paraId="2F9223ED">
      <w:pPr>
        <w:rPr>
          <w:rFonts w:asciiTheme="minorEastAsia" w:hAnsiTheme="minorEastAsia" w:eastAsiaTheme="minorEastAsia"/>
          <w:szCs w:val="21"/>
        </w:rPr>
      </w:pPr>
    </w:p>
    <w:p w14:paraId="558E4852">
      <w:pPr>
        <w:rPr>
          <w:rFonts w:asciiTheme="minorEastAsia" w:hAnsiTheme="minorEastAsia" w:eastAsiaTheme="minorEastAsia"/>
          <w:szCs w:val="21"/>
        </w:rPr>
      </w:pPr>
    </w:p>
    <w:p w14:paraId="440A5721">
      <w:pPr>
        <w:tabs>
          <w:tab w:val="left" w:pos="4253"/>
        </w:tabs>
        <w:rPr>
          <w:rFonts w:ascii="宋体" w:hAnsi="宋体"/>
          <w:bCs/>
          <w:kern w:val="0"/>
          <w:szCs w:val="21"/>
        </w:rPr>
      </w:pPr>
      <w:r>
        <w:rPr>
          <w:rFonts w:ascii="宋体" w:hAnsi="宋体"/>
          <w:bCs/>
          <w:kern w:val="0"/>
          <w:szCs w:val="21"/>
        </w:rPr>
        <w:t>4</w:t>
      </w:r>
      <w:r>
        <w:rPr>
          <w:rFonts w:hint="eastAsia" w:ascii="宋体" w:hAnsi="宋体"/>
          <w:bCs/>
          <w:kern w:val="0"/>
          <w:szCs w:val="21"/>
        </w:rPr>
        <w:t>.</w:t>
      </w:r>
      <w:r>
        <w:rPr>
          <w:rFonts w:hint="eastAsia"/>
        </w:rPr>
        <w:t xml:space="preserve"> 某公司本年实现税后利润2000万元，下年拟上一个新项目，需投资1000万元。公司目标资本结构为权益与负债之比为6：4，公司发行在外的普通股为500万股。公司决定采用剩余股利政策进行股利分配，公司计提法定盈余公积金的比例为10%。要求：（1）计算应提取的法定盈余公积。（2）计算本年应发现金股利。（3）计算每股股利和基本每股收益。</w:t>
      </w:r>
      <w:r>
        <w:rPr>
          <w:rFonts w:hint="eastAsia"/>
          <w:color w:val="000000"/>
        </w:rPr>
        <w:t>（）</w:t>
      </w:r>
    </w:p>
    <w:p w14:paraId="43BD3D8C">
      <w:pPr>
        <w:rPr>
          <w:rFonts w:ascii="宋体" w:hAnsi="宋体"/>
        </w:rPr>
      </w:pPr>
    </w:p>
    <w:p w14:paraId="7B926BA2">
      <w:pPr>
        <w:rPr>
          <w:rFonts w:ascii="宋体" w:hAnsi="宋体"/>
        </w:rPr>
      </w:pPr>
    </w:p>
    <w:p w14:paraId="5C5EA0FD">
      <w:pPr>
        <w:rPr>
          <w:rFonts w:ascii="宋体" w:hAnsi="宋体"/>
        </w:rPr>
      </w:pPr>
    </w:p>
    <w:p w14:paraId="51EB9468">
      <w:pPr>
        <w:rPr>
          <w:rFonts w:ascii="宋体" w:hAnsi="宋体"/>
        </w:rPr>
      </w:pPr>
    </w:p>
    <w:p w14:paraId="62F1314A">
      <w:pPr>
        <w:rPr>
          <w:rFonts w:ascii="宋体" w:hAnsi="宋体"/>
        </w:rPr>
      </w:pPr>
    </w:p>
    <w:p w14:paraId="3F4956DF">
      <w:pPr>
        <w:rPr>
          <w:rFonts w:ascii="宋体" w:hAnsi="宋体"/>
        </w:rPr>
      </w:pPr>
    </w:p>
    <w:p w14:paraId="0B78F464">
      <w:pPr>
        <w:rPr>
          <w:rFonts w:ascii="宋体" w:hAnsi="宋体"/>
        </w:rPr>
      </w:pPr>
    </w:p>
    <w:p w14:paraId="00DFA582">
      <w:pPr>
        <w:rPr>
          <w:rFonts w:ascii="宋体" w:hAnsi="宋体"/>
        </w:rPr>
      </w:pPr>
    </w:p>
    <w:p w14:paraId="54F73830">
      <w:pPr>
        <w:rPr>
          <w:rFonts w:ascii="宋体" w:hAnsi="宋体"/>
        </w:rPr>
      </w:pPr>
    </w:p>
    <w:p w14:paraId="27DE5FCA">
      <w:pPr>
        <w:rPr>
          <w:rFonts w:ascii="宋体" w:hAnsi="宋体"/>
        </w:rPr>
      </w:pPr>
    </w:p>
    <w:p w14:paraId="66624FAE">
      <w:pPr>
        <w:rPr>
          <w:rFonts w:ascii="宋体" w:hAnsi="宋体"/>
        </w:rPr>
      </w:pPr>
    </w:p>
    <w:p w14:paraId="10F5C7CB">
      <w:pPr>
        <w:rPr>
          <w:rFonts w:ascii="宋体" w:hAnsi="宋体"/>
        </w:rPr>
      </w:pPr>
    </w:p>
    <w:p w14:paraId="139BD639">
      <w:pPr>
        <w:rPr>
          <w:rFonts w:ascii="宋体" w:hAnsi="宋体"/>
        </w:rPr>
      </w:pPr>
    </w:p>
    <w:p w14:paraId="0433DE74">
      <w:pPr>
        <w:rPr>
          <w:rFonts w:ascii="宋体" w:hAnsi="宋体"/>
        </w:rPr>
      </w:pPr>
    </w:p>
    <w:p w14:paraId="006D9845">
      <w:pPr>
        <w:rPr>
          <w:rFonts w:ascii="宋体" w:hAnsi="宋体"/>
        </w:rPr>
      </w:pPr>
    </w:p>
    <w:p w14:paraId="3392947C">
      <w:pPr>
        <w:rPr>
          <w:rFonts w:ascii="宋体" w:hAnsi="宋体"/>
        </w:rPr>
      </w:pPr>
    </w:p>
    <w:p w14:paraId="612A15AC">
      <w:pPr>
        <w:rPr>
          <w:rFonts w:ascii="宋体" w:hAnsi="宋体"/>
        </w:rPr>
      </w:pPr>
    </w:p>
    <w:p w14:paraId="68F27A7D">
      <w:pPr>
        <w:rPr>
          <w:rFonts w:ascii="宋体" w:hAnsi="宋体"/>
        </w:rPr>
      </w:pPr>
    </w:p>
    <w:p w14:paraId="04867DB9">
      <w:pPr>
        <w:rPr>
          <w:rFonts w:ascii="宋体" w:hAnsi="宋体"/>
        </w:rPr>
      </w:pPr>
    </w:p>
    <w:p w14:paraId="1B5B4A06">
      <w:pPr>
        <w:rPr>
          <w:rFonts w:asciiTheme="minorEastAsia" w:hAnsiTheme="minorEastAsia" w:eastAsiaTheme="minorEastAsia"/>
          <w:szCs w:val="21"/>
        </w:rPr>
      </w:pPr>
    </w:p>
    <w:p w14:paraId="54A2674E">
      <w:pPr>
        <w:tabs>
          <w:tab w:val="decimal" w:pos="0"/>
        </w:tabs>
        <w:jc w:val="center"/>
        <w:rPr>
          <w:rFonts w:hint="eastAsia" w:ascii="宋体" w:hAnsi="宋体"/>
          <w:b/>
          <w:sz w:val="24"/>
        </w:rPr>
      </w:pPr>
      <w:r>
        <w:rPr>
          <w:rFonts w:hint="eastAsia" w:ascii="宋体" w:hAnsi="宋体"/>
          <w:b/>
          <w:sz w:val="24"/>
        </w:rPr>
        <w:t>答案</w:t>
      </w:r>
    </w:p>
    <w:p w14:paraId="7561EBA8">
      <w:pPr>
        <w:pStyle w:val="2"/>
        <w:tabs>
          <w:tab w:val="left" w:pos="840"/>
        </w:tabs>
        <w:spacing w:before="0" w:beforeAutospacing="0" w:after="0" w:afterAutospacing="0"/>
        <w:rPr>
          <w:rFonts w:hint="eastAsia"/>
          <w:b/>
          <w:bCs/>
          <w:sz w:val="21"/>
          <w:szCs w:val="21"/>
        </w:rPr>
      </w:pPr>
      <w:r>
        <w:rPr>
          <w:rFonts w:hint="eastAsia"/>
          <w:b/>
          <w:sz w:val="21"/>
          <w:szCs w:val="21"/>
        </w:rPr>
        <w:t>一、单项选择题</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0"/>
        <w:gridCol w:w="800"/>
        <w:gridCol w:w="801"/>
        <w:gridCol w:w="801"/>
        <w:gridCol w:w="801"/>
        <w:gridCol w:w="800"/>
        <w:gridCol w:w="800"/>
        <w:gridCol w:w="800"/>
        <w:gridCol w:w="800"/>
        <w:gridCol w:w="800"/>
      </w:tblGrid>
      <w:tr w14:paraId="1C5BD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00" w:type="dxa"/>
            <w:vAlign w:val="center"/>
          </w:tcPr>
          <w:p w14:paraId="489A8172">
            <w:pPr>
              <w:jc w:val="center"/>
              <w:rPr>
                <w:rFonts w:hint="eastAsia" w:ascii="宋体" w:hAnsi="宋体"/>
                <w:sz w:val="24"/>
              </w:rPr>
            </w:pPr>
            <w:r>
              <w:rPr>
                <w:rFonts w:hint="eastAsia" w:ascii="宋体" w:hAnsi="宋体"/>
                <w:sz w:val="24"/>
              </w:rPr>
              <w:t>1</w:t>
            </w:r>
          </w:p>
        </w:tc>
        <w:tc>
          <w:tcPr>
            <w:tcW w:w="800" w:type="dxa"/>
            <w:vAlign w:val="center"/>
          </w:tcPr>
          <w:p w14:paraId="6A64BE2A">
            <w:pPr>
              <w:jc w:val="center"/>
              <w:rPr>
                <w:rFonts w:hint="eastAsia" w:ascii="宋体" w:hAnsi="宋体"/>
                <w:sz w:val="24"/>
              </w:rPr>
            </w:pPr>
            <w:r>
              <w:rPr>
                <w:rFonts w:hint="eastAsia" w:ascii="宋体" w:hAnsi="宋体"/>
                <w:sz w:val="24"/>
              </w:rPr>
              <w:t>2</w:t>
            </w:r>
          </w:p>
        </w:tc>
        <w:tc>
          <w:tcPr>
            <w:tcW w:w="801" w:type="dxa"/>
            <w:vAlign w:val="center"/>
          </w:tcPr>
          <w:p w14:paraId="35E04399">
            <w:pPr>
              <w:jc w:val="center"/>
              <w:rPr>
                <w:rFonts w:hint="eastAsia" w:ascii="宋体" w:hAnsi="宋体"/>
                <w:sz w:val="24"/>
              </w:rPr>
            </w:pPr>
            <w:r>
              <w:rPr>
                <w:rFonts w:hint="eastAsia" w:ascii="宋体" w:hAnsi="宋体"/>
                <w:sz w:val="24"/>
              </w:rPr>
              <w:t>3</w:t>
            </w:r>
          </w:p>
        </w:tc>
        <w:tc>
          <w:tcPr>
            <w:tcW w:w="801" w:type="dxa"/>
            <w:vAlign w:val="center"/>
          </w:tcPr>
          <w:p w14:paraId="778E2576">
            <w:pPr>
              <w:jc w:val="center"/>
              <w:rPr>
                <w:rFonts w:hint="eastAsia" w:ascii="宋体" w:hAnsi="宋体"/>
                <w:sz w:val="24"/>
              </w:rPr>
            </w:pPr>
            <w:r>
              <w:rPr>
                <w:rFonts w:hint="eastAsia" w:ascii="宋体" w:hAnsi="宋体"/>
                <w:sz w:val="24"/>
              </w:rPr>
              <w:t>4</w:t>
            </w:r>
          </w:p>
        </w:tc>
        <w:tc>
          <w:tcPr>
            <w:tcW w:w="801" w:type="dxa"/>
            <w:vAlign w:val="center"/>
          </w:tcPr>
          <w:p w14:paraId="23401AC0">
            <w:pPr>
              <w:jc w:val="center"/>
              <w:rPr>
                <w:rFonts w:hint="eastAsia" w:ascii="宋体" w:hAnsi="宋体"/>
                <w:sz w:val="24"/>
              </w:rPr>
            </w:pPr>
            <w:r>
              <w:rPr>
                <w:rFonts w:hint="eastAsia" w:ascii="宋体" w:hAnsi="宋体"/>
                <w:sz w:val="24"/>
              </w:rPr>
              <w:t>5</w:t>
            </w:r>
          </w:p>
        </w:tc>
        <w:tc>
          <w:tcPr>
            <w:tcW w:w="800" w:type="dxa"/>
            <w:vAlign w:val="center"/>
          </w:tcPr>
          <w:p w14:paraId="6D4F0D64">
            <w:pPr>
              <w:jc w:val="center"/>
              <w:rPr>
                <w:rFonts w:hint="eastAsia" w:ascii="宋体" w:hAnsi="宋体"/>
                <w:sz w:val="24"/>
              </w:rPr>
            </w:pPr>
            <w:r>
              <w:rPr>
                <w:rFonts w:hint="eastAsia" w:ascii="宋体" w:hAnsi="宋体"/>
                <w:sz w:val="24"/>
              </w:rPr>
              <w:t>6</w:t>
            </w:r>
          </w:p>
        </w:tc>
        <w:tc>
          <w:tcPr>
            <w:tcW w:w="800" w:type="dxa"/>
            <w:vAlign w:val="center"/>
          </w:tcPr>
          <w:p w14:paraId="0CC1A6C6">
            <w:pPr>
              <w:jc w:val="center"/>
              <w:rPr>
                <w:rFonts w:hint="eastAsia" w:ascii="宋体" w:hAnsi="宋体"/>
                <w:sz w:val="24"/>
              </w:rPr>
            </w:pPr>
            <w:r>
              <w:rPr>
                <w:rFonts w:hint="eastAsia" w:ascii="宋体" w:hAnsi="宋体"/>
                <w:sz w:val="24"/>
              </w:rPr>
              <w:t>7</w:t>
            </w:r>
          </w:p>
        </w:tc>
        <w:tc>
          <w:tcPr>
            <w:tcW w:w="800" w:type="dxa"/>
            <w:vAlign w:val="center"/>
          </w:tcPr>
          <w:p w14:paraId="7C27ADB4">
            <w:pPr>
              <w:jc w:val="center"/>
              <w:rPr>
                <w:rFonts w:hint="default" w:ascii="宋体" w:hAnsi="宋体" w:eastAsia="宋体"/>
                <w:sz w:val="24"/>
                <w:lang w:val="en-US" w:eastAsia="zh-CN"/>
              </w:rPr>
            </w:pPr>
            <w:r>
              <w:rPr>
                <w:rFonts w:hint="eastAsia" w:ascii="宋体" w:hAnsi="宋体"/>
                <w:sz w:val="24"/>
                <w:lang w:val="en-US" w:eastAsia="zh-CN"/>
              </w:rPr>
              <w:t>8</w:t>
            </w:r>
          </w:p>
        </w:tc>
        <w:tc>
          <w:tcPr>
            <w:tcW w:w="800" w:type="dxa"/>
            <w:vAlign w:val="center"/>
          </w:tcPr>
          <w:p w14:paraId="193FBFF0">
            <w:pPr>
              <w:jc w:val="center"/>
              <w:rPr>
                <w:rFonts w:hint="eastAsia" w:ascii="宋体" w:hAnsi="宋体" w:eastAsia="宋体"/>
                <w:sz w:val="24"/>
                <w:lang w:val="en-US" w:eastAsia="zh-CN"/>
              </w:rPr>
            </w:pPr>
            <w:r>
              <w:rPr>
                <w:rFonts w:hint="eastAsia" w:ascii="宋体" w:hAnsi="宋体"/>
                <w:sz w:val="24"/>
                <w:lang w:val="en-US" w:eastAsia="zh-CN"/>
              </w:rPr>
              <w:t>9</w:t>
            </w:r>
          </w:p>
        </w:tc>
        <w:tc>
          <w:tcPr>
            <w:tcW w:w="800" w:type="dxa"/>
            <w:vAlign w:val="center"/>
          </w:tcPr>
          <w:p w14:paraId="3DB3233E">
            <w:pPr>
              <w:jc w:val="center"/>
              <w:rPr>
                <w:rFonts w:hint="default" w:ascii="宋体" w:hAnsi="宋体" w:eastAsia="宋体"/>
                <w:sz w:val="24"/>
                <w:lang w:val="en-US" w:eastAsia="zh-CN"/>
              </w:rPr>
            </w:pPr>
            <w:r>
              <w:rPr>
                <w:rFonts w:hint="eastAsia" w:ascii="宋体" w:hAnsi="宋体"/>
                <w:sz w:val="24"/>
                <w:lang w:val="en-US" w:eastAsia="zh-CN"/>
              </w:rPr>
              <w:t>10</w:t>
            </w:r>
          </w:p>
        </w:tc>
      </w:tr>
      <w:tr w14:paraId="374B1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00" w:type="dxa"/>
          </w:tcPr>
          <w:p w14:paraId="0B8DE9DD">
            <w:pPr>
              <w:spacing w:line="312" w:lineRule="auto"/>
              <w:rPr>
                <w:rFonts w:hint="eastAsia" w:ascii="宋体" w:hAnsi="宋体"/>
                <w:szCs w:val="21"/>
              </w:rPr>
            </w:pPr>
            <w:r>
              <w:rPr>
                <w:rFonts w:hint="eastAsia" w:ascii="宋体" w:hAnsi="宋体"/>
                <w:szCs w:val="21"/>
              </w:rPr>
              <w:t>B</w:t>
            </w:r>
          </w:p>
        </w:tc>
        <w:tc>
          <w:tcPr>
            <w:tcW w:w="800" w:type="dxa"/>
          </w:tcPr>
          <w:p w14:paraId="5E518A51">
            <w:pPr>
              <w:spacing w:line="312" w:lineRule="auto"/>
              <w:rPr>
                <w:rFonts w:hint="eastAsia" w:ascii="宋体" w:hAnsi="宋体"/>
                <w:szCs w:val="21"/>
              </w:rPr>
            </w:pPr>
            <w:r>
              <w:rPr>
                <w:rFonts w:hint="eastAsia" w:ascii="宋体" w:hAnsi="宋体"/>
                <w:szCs w:val="21"/>
              </w:rPr>
              <w:t>C</w:t>
            </w:r>
          </w:p>
        </w:tc>
        <w:tc>
          <w:tcPr>
            <w:tcW w:w="801" w:type="dxa"/>
          </w:tcPr>
          <w:p w14:paraId="793426C1">
            <w:pPr>
              <w:spacing w:line="312" w:lineRule="auto"/>
              <w:rPr>
                <w:rFonts w:hint="eastAsia" w:ascii="宋体" w:hAnsi="宋体"/>
                <w:szCs w:val="21"/>
              </w:rPr>
            </w:pPr>
            <w:r>
              <w:rPr>
                <w:rFonts w:hint="eastAsia" w:ascii="宋体" w:hAnsi="宋体"/>
                <w:szCs w:val="21"/>
              </w:rPr>
              <w:t>B</w:t>
            </w:r>
          </w:p>
        </w:tc>
        <w:tc>
          <w:tcPr>
            <w:tcW w:w="801" w:type="dxa"/>
          </w:tcPr>
          <w:p w14:paraId="60BFB871">
            <w:pPr>
              <w:spacing w:line="312" w:lineRule="auto"/>
              <w:rPr>
                <w:rFonts w:hint="eastAsia" w:ascii="宋体" w:hAnsi="宋体"/>
                <w:szCs w:val="21"/>
              </w:rPr>
            </w:pPr>
            <w:r>
              <w:rPr>
                <w:rFonts w:hint="eastAsia" w:ascii="宋体" w:hAnsi="宋体"/>
                <w:szCs w:val="21"/>
              </w:rPr>
              <w:t>A</w:t>
            </w:r>
          </w:p>
        </w:tc>
        <w:tc>
          <w:tcPr>
            <w:tcW w:w="801" w:type="dxa"/>
          </w:tcPr>
          <w:p w14:paraId="3613AA7B">
            <w:pPr>
              <w:spacing w:line="312" w:lineRule="auto"/>
              <w:rPr>
                <w:rFonts w:hint="eastAsia" w:ascii="宋体" w:hAnsi="宋体"/>
                <w:szCs w:val="21"/>
              </w:rPr>
            </w:pPr>
            <w:r>
              <w:rPr>
                <w:rFonts w:hint="eastAsia" w:ascii="宋体" w:hAnsi="宋体"/>
                <w:szCs w:val="21"/>
              </w:rPr>
              <w:t>D</w:t>
            </w:r>
          </w:p>
        </w:tc>
        <w:tc>
          <w:tcPr>
            <w:tcW w:w="800" w:type="dxa"/>
          </w:tcPr>
          <w:p w14:paraId="2B800BF3">
            <w:pPr>
              <w:spacing w:line="312" w:lineRule="auto"/>
              <w:rPr>
                <w:rFonts w:hint="eastAsia" w:ascii="宋体" w:hAnsi="宋体"/>
                <w:szCs w:val="21"/>
              </w:rPr>
            </w:pPr>
            <w:r>
              <w:rPr>
                <w:rFonts w:hint="eastAsia" w:ascii="宋体" w:hAnsi="宋体"/>
                <w:szCs w:val="21"/>
              </w:rPr>
              <w:t>B</w:t>
            </w:r>
          </w:p>
        </w:tc>
        <w:tc>
          <w:tcPr>
            <w:tcW w:w="800" w:type="dxa"/>
          </w:tcPr>
          <w:p w14:paraId="6A5725E4">
            <w:pPr>
              <w:spacing w:line="312" w:lineRule="auto"/>
              <w:rPr>
                <w:rFonts w:hint="eastAsia" w:ascii="宋体" w:hAnsi="宋体"/>
                <w:szCs w:val="21"/>
              </w:rPr>
            </w:pPr>
            <w:r>
              <w:rPr>
                <w:rFonts w:hint="eastAsia" w:ascii="宋体" w:hAnsi="宋体"/>
                <w:szCs w:val="21"/>
              </w:rPr>
              <w:t xml:space="preserve">A </w:t>
            </w:r>
          </w:p>
        </w:tc>
        <w:tc>
          <w:tcPr>
            <w:tcW w:w="800" w:type="dxa"/>
          </w:tcPr>
          <w:p w14:paraId="2C559A02">
            <w:pPr>
              <w:spacing w:line="312" w:lineRule="auto"/>
              <w:rPr>
                <w:rFonts w:hint="eastAsia" w:ascii="宋体" w:hAnsi="宋体" w:eastAsia="宋体"/>
                <w:szCs w:val="21"/>
                <w:lang w:val="en-US" w:eastAsia="zh-CN"/>
              </w:rPr>
            </w:pPr>
            <w:r>
              <w:rPr>
                <w:rFonts w:hint="eastAsia" w:ascii="宋体" w:hAnsi="宋体"/>
                <w:szCs w:val="21"/>
                <w:lang w:val="en-US" w:eastAsia="zh-CN"/>
              </w:rPr>
              <w:t>A</w:t>
            </w:r>
          </w:p>
        </w:tc>
        <w:tc>
          <w:tcPr>
            <w:tcW w:w="800" w:type="dxa"/>
          </w:tcPr>
          <w:p w14:paraId="6B021411">
            <w:pPr>
              <w:spacing w:line="312" w:lineRule="auto"/>
              <w:rPr>
                <w:rFonts w:hint="eastAsia" w:ascii="宋体" w:hAnsi="宋体" w:eastAsia="宋体"/>
                <w:szCs w:val="21"/>
                <w:lang w:val="en-US" w:eastAsia="zh-CN"/>
              </w:rPr>
            </w:pPr>
            <w:r>
              <w:rPr>
                <w:rFonts w:hint="eastAsia" w:ascii="宋体" w:hAnsi="宋体"/>
                <w:szCs w:val="21"/>
                <w:lang w:val="en-US" w:eastAsia="zh-CN"/>
              </w:rPr>
              <w:t>C</w:t>
            </w:r>
          </w:p>
        </w:tc>
        <w:tc>
          <w:tcPr>
            <w:tcW w:w="800" w:type="dxa"/>
          </w:tcPr>
          <w:p w14:paraId="49C8CC1B">
            <w:pPr>
              <w:spacing w:line="312" w:lineRule="auto"/>
              <w:rPr>
                <w:rFonts w:hint="eastAsia" w:ascii="宋体" w:hAnsi="宋体" w:eastAsia="宋体"/>
                <w:szCs w:val="21"/>
                <w:lang w:val="en-US" w:eastAsia="zh-CN"/>
              </w:rPr>
            </w:pPr>
            <w:r>
              <w:rPr>
                <w:rFonts w:hint="eastAsia" w:ascii="宋体" w:hAnsi="宋体"/>
                <w:szCs w:val="21"/>
                <w:lang w:val="en-US" w:eastAsia="zh-CN"/>
              </w:rPr>
              <w:t>A</w:t>
            </w:r>
          </w:p>
        </w:tc>
      </w:tr>
      <w:tr w14:paraId="69A7E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00" w:type="dxa"/>
            <w:tcBorders>
              <w:top w:val="single" w:color="auto" w:sz="4" w:space="0"/>
              <w:left w:val="single" w:color="auto" w:sz="4" w:space="0"/>
              <w:bottom w:val="single" w:color="auto" w:sz="4" w:space="0"/>
              <w:right w:val="single" w:color="auto" w:sz="4" w:space="0"/>
            </w:tcBorders>
            <w:vAlign w:val="center"/>
          </w:tcPr>
          <w:p w14:paraId="560EF202">
            <w:pPr>
              <w:jc w:val="center"/>
              <w:rPr>
                <w:rFonts w:hint="default" w:ascii="宋体" w:hAnsi="宋体" w:eastAsia="宋体"/>
                <w:sz w:val="24"/>
                <w:lang w:val="en-US" w:eastAsia="zh-CN"/>
              </w:rPr>
            </w:pPr>
            <w:r>
              <w:rPr>
                <w:rFonts w:hint="eastAsia" w:ascii="宋体" w:hAnsi="宋体"/>
                <w:sz w:val="24"/>
                <w:lang w:val="en-US" w:eastAsia="zh-CN"/>
              </w:rPr>
              <w:t>11</w:t>
            </w:r>
          </w:p>
        </w:tc>
        <w:tc>
          <w:tcPr>
            <w:tcW w:w="800" w:type="dxa"/>
            <w:tcBorders>
              <w:top w:val="single" w:color="auto" w:sz="4" w:space="0"/>
              <w:left w:val="single" w:color="auto" w:sz="4" w:space="0"/>
              <w:bottom w:val="single" w:color="auto" w:sz="4" w:space="0"/>
              <w:right w:val="single" w:color="auto" w:sz="4" w:space="0"/>
            </w:tcBorders>
            <w:vAlign w:val="center"/>
          </w:tcPr>
          <w:p w14:paraId="16670DB9">
            <w:pPr>
              <w:jc w:val="center"/>
              <w:rPr>
                <w:rFonts w:hint="default" w:ascii="宋体" w:hAnsi="宋体" w:eastAsia="宋体"/>
                <w:sz w:val="24"/>
                <w:lang w:val="en-US" w:eastAsia="zh-CN"/>
              </w:rPr>
            </w:pPr>
            <w:r>
              <w:rPr>
                <w:rFonts w:hint="eastAsia" w:ascii="宋体" w:hAnsi="宋体"/>
                <w:sz w:val="24"/>
                <w:lang w:val="en-US" w:eastAsia="zh-CN"/>
              </w:rPr>
              <w:t>12</w:t>
            </w:r>
          </w:p>
        </w:tc>
        <w:tc>
          <w:tcPr>
            <w:tcW w:w="801" w:type="dxa"/>
            <w:tcBorders>
              <w:top w:val="single" w:color="auto" w:sz="4" w:space="0"/>
              <w:left w:val="single" w:color="auto" w:sz="4" w:space="0"/>
              <w:bottom w:val="single" w:color="auto" w:sz="4" w:space="0"/>
              <w:right w:val="single" w:color="auto" w:sz="4" w:space="0"/>
            </w:tcBorders>
            <w:vAlign w:val="center"/>
          </w:tcPr>
          <w:p w14:paraId="0A862144">
            <w:pPr>
              <w:jc w:val="center"/>
              <w:rPr>
                <w:rFonts w:hint="default" w:ascii="宋体" w:hAnsi="宋体" w:eastAsia="宋体"/>
                <w:sz w:val="24"/>
                <w:lang w:val="en-US" w:eastAsia="zh-CN"/>
              </w:rPr>
            </w:pPr>
            <w:r>
              <w:rPr>
                <w:rFonts w:hint="eastAsia" w:ascii="宋体" w:hAnsi="宋体"/>
                <w:sz w:val="24"/>
                <w:lang w:val="en-US" w:eastAsia="zh-CN"/>
              </w:rPr>
              <w:t>13</w:t>
            </w:r>
          </w:p>
        </w:tc>
        <w:tc>
          <w:tcPr>
            <w:tcW w:w="801" w:type="dxa"/>
            <w:tcBorders>
              <w:top w:val="single" w:color="auto" w:sz="4" w:space="0"/>
              <w:left w:val="single" w:color="auto" w:sz="4" w:space="0"/>
              <w:bottom w:val="single" w:color="auto" w:sz="4" w:space="0"/>
              <w:right w:val="single" w:color="auto" w:sz="4" w:space="0"/>
            </w:tcBorders>
            <w:vAlign w:val="center"/>
          </w:tcPr>
          <w:p w14:paraId="56B6E3E0">
            <w:pPr>
              <w:jc w:val="center"/>
              <w:rPr>
                <w:rFonts w:hint="eastAsia" w:ascii="宋体" w:hAnsi="宋体" w:eastAsia="宋体"/>
                <w:sz w:val="24"/>
                <w:lang w:val="en-US" w:eastAsia="zh-CN"/>
              </w:rPr>
            </w:pPr>
            <w:r>
              <w:rPr>
                <w:rFonts w:ascii="宋体" w:hAnsi="宋体"/>
                <w:sz w:val="24"/>
              </w:rPr>
              <w:t>1</w:t>
            </w:r>
            <w:r>
              <w:rPr>
                <w:rFonts w:hint="eastAsia" w:ascii="宋体" w:hAnsi="宋体"/>
                <w:sz w:val="24"/>
                <w:lang w:val="en-US" w:eastAsia="zh-CN"/>
              </w:rPr>
              <w:t>4</w:t>
            </w:r>
          </w:p>
        </w:tc>
        <w:tc>
          <w:tcPr>
            <w:tcW w:w="801" w:type="dxa"/>
            <w:tcBorders>
              <w:top w:val="single" w:color="auto" w:sz="4" w:space="0"/>
              <w:left w:val="single" w:color="auto" w:sz="4" w:space="0"/>
              <w:bottom w:val="single" w:color="auto" w:sz="4" w:space="0"/>
              <w:right w:val="single" w:color="auto" w:sz="4" w:space="0"/>
            </w:tcBorders>
            <w:vAlign w:val="center"/>
          </w:tcPr>
          <w:p w14:paraId="4150EEBA">
            <w:pPr>
              <w:jc w:val="center"/>
              <w:rPr>
                <w:rFonts w:hint="eastAsia" w:ascii="宋体" w:hAnsi="宋体" w:eastAsia="宋体"/>
                <w:sz w:val="24"/>
                <w:lang w:val="en-US" w:eastAsia="zh-CN"/>
              </w:rPr>
            </w:pPr>
            <w:r>
              <w:rPr>
                <w:rFonts w:ascii="宋体" w:hAnsi="宋体"/>
                <w:sz w:val="24"/>
              </w:rPr>
              <w:t>1</w:t>
            </w:r>
            <w:r>
              <w:rPr>
                <w:rFonts w:hint="eastAsia" w:ascii="宋体" w:hAnsi="宋体"/>
                <w:sz w:val="24"/>
                <w:lang w:val="en-US" w:eastAsia="zh-CN"/>
              </w:rPr>
              <w:t>5</w:t>
            </w:r>
          </w:p>
        </w:tc>
        <w:tc>
          <w:tcPr>
            <w:tcW w:w="800" w:type="dxa"/>
            <w:tcBorders>
              <w:top w:val="single" w:color="auto" w:sz="4" w:space="0"/>
              <w:left w:val="single" w:color="auto" w:sz="4" w:space="0"/>
              <w:bottom w:val="single" w:color="auto" w:sz="4" w:space="0"/>
              <w:right w:val="single" w:color="auto" w:sz="4" w:space="0"/>
            </w:tcBorders>
            <w:vAlign w:val="center"/>
          </w:tcPr>
          <w:p w14:paraId="58E3340E">
            <w:pPr>
              <w:jc w:val="center"/>
              <w:rPr>
                <w:rFonts w:hint="default" w:ascii="宋体" w:hAnsi="宋体" w:eastAsia="宋体"/>
                <w:sz w:val="24"/>
                <w:lang w:val="en-US" w:eastAsia="zh-CN"/>
              </w:rPr>
            </w:pPr>
            <w:r>
              <w:rPr>
                <w:rFonts w:ascii="宋体" w:hAnsi="宋体"/>
                <w:sz w:val="24"/>
              </w:rPr>
              <w:t>1</w:t>
            </w:r>
            <w:r>
              <w:rPr>
                <w:rFonts w:hint="eastAsia" w:ascii="宋体" w:hAnsi="宋体"/>
                <w:sz w:val="24"/>
                <w:lang w:val="en-US" w:eastAsia="zh-CN"/>
              </w:rPr>
              <w:t>6</w:t>
            </w:r>
          </w:p>
        </w:tc>
        <w:tc>
          <w:tcPr>
            <w:tcW w:w="800" w:type="dxa"/>
            <w:tcBorders>
              <w:top w:val="single" w:color="auto" w:sz="4" w:space="0"/>
              <w:left w:val="single" w:color="auto" w:sz="4" w:space="0"/>
              <w:bottom w:val="single" w:color="auto" w:sz="4" w:space="0"/>
              <w:right w:val="single" w:color="auto" w:sz="4" w:space="0"/>
            </w:tcBorders>
            <w:vAlign w:val="center"/>
          </w:tcPr>
          <w:p w14:paraId="1F50D8CD">
            <w:pPr>
              <w:jc w:val="center"/>
              <w:rPr>
                <w:rFonts w:hint="eastAsia" w:ascii="宋体" w:hAnsi="宋体" w:eastAsia="宋体"/>
                <w:sz w:val="24"/>
                <w:lang w:val="en-US" w:eastAsia="zh-CN"/>
              </w:rPr>
            </w:pPr>
          </w:p>
        </w:tc>
        <w:tc>
          <w:tcPr>
            <w:tcW w:w="800" w:type="dxa"/>
            <w:tcBorders>
              <w:top w:val="single" w:color="auto" w:sz="4" w:space="0"/>
              <w:left w:val="single" w:color="auto" w:sz="4" w:space="0"/>
              <w:bottom w:val="single" w:color="auto" w:sz="4" w:space="0"/>
              <w:right w:val="single" w:color="auto" w:sz="4" w:space="0"/>
            </w:tcBorders>
            <w:vAlign w:val="center"/>
          </w:tcPr>
          <w:p w14:paraId="7B99F088">
            <w:pPr>
              <w:jc w:val="center"/>
              <w:rPr>
                <w:rFonts w:hint="eastAsia" w:ascii="宋体" w:hAnsi="宋体" w:eastAsia="宋体"/>
                <w:sz w:val="24"/>
                <w:lang w:val="en-US" w:eastAsia="zh-CN"/>
              </w:rPr>
            </w:pPr>
          </w:p>
        </w:tc>
        <w:tc>
          <w:tcPr>
            <w:tcW w:w="800" w:type="dxa"/>
            <w:tcBorders>
              <w:top w:val="single" w:color="auto" w:sz="4" w:space="0"/>
              <w:left w:val="single" w:color="auto" w:sz="4" w:space="0"/>
              <w:bottom w:val="single" w:color="auto" w:sz="4" w:space="0"/>
              <w:right w:val="single" w:color="auto" w:sz="4" w:space="0"/>
            </w:tcBorders>
            <w:vAlign w:val="center"/>
          </w:tcPr>
          <w:p w14:paraId="5BAD9D39">
            <w:pPr>
              <w:jc w:val="center"/>
              <w:rPr>
                <w:rFonts w:hint="eastAsia" w:ascii="宋体" w:hAnsi="宋体" w:eastAsia="宋体"/>
                <w:sz w:val="24"/>
                <w:lang w:val="en-US" w:eastAsia="zh-CN"/>
              </w:rPr>
            </w:pPr>
          </w:p>
        </w:tc>
        <w:tc>
          <w:tcPr>
            <w:tcW w:w="800" w:type="dxa"/>
            <w:tcBorders>
              <w:top w:val="single" w:color="auto" w:sz="4" w:space="0"/>
              <w:left w:val="single" w:color="auto" w:sz="4" w:space="0"/>
              <w:bottom w:val="single" w:color="auto" w:sz="4" w:space="0"/>
              <w:right w:val="single" w:color="auto" w:sz="4" w:space="0"/>
            </w:tcBorders>
            <w:vAlign w:val="center"/>
          </w:tcPr>
          <w:p w14:paraId="2E756B73">
            <w:pPr>
              <w:jc w:val="center"/>
              <w:rPr>
                <w:rFonts w:hint="default" w:ascii="宋体" w:hAnsi="宋体" w:eastAsia="宋体"/>
                <w:sz w:val="24"/>
                <w:lang w:val="en-US" w:eastAsia="zh-CN"/>
              </w:rPr>
            </w:pPr>
          </w:p>
        </w:tc>
      </w:tr>
      <w:tr w14:paraId="111ED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00" w:type="dxa"/>
            <w:tcBorders>
              <w:top w:val="single" w:color="auto" w:sz="4" w:space="0"/>
              <w:left w:val="single" w:color="auto" w:sz="4" w:space="0"/>
              <w:bottom w:val="single" w:color="auto" w:sz="4" w:space="0"/>
              <w:right w:val="single" w:color="auto" w:sz="4" w:space="0"/>
            </w:tcBorders>
            <w:vAlign w:val="center"/>
          </w:tcPr>
          <w:p w14:paraId="69A856DB">
            <w:pPr>
              <w:jc w:val="center"/>
              <w:rPr>
                <w:rFonts w:hint="eastAsia" w:ascii="宋体" w:hAnsi="宋体" w:eastAsia="宋体"/>
                <w:sz w:val="24"/>
                <w:lang w:val="en-US" w:eastAsia="zh-CN"/>
              </w:rPr>
            </w:pPr>
            <w:r>
              <w:rPr>
                <w:rFonts w:hint="eastAsia" w:ascii="宋体" w:hAnsi="宋体"/>
                <w:sz w:val="24"/>
                <w:lang w:val="en-US" w:eastAsia="zh-CN"/>
              </w:rPr>
              <w:t>C</w:t>
            </w:r>
          </w:p>
        </w:tc>
        <w:tc>
          <w:tcPr>
            <w:tcW w:w="800" w:type="dxa"/>
            <w:tcBorders>
              <w:top w:val="single" w:color="auto" w:sz="4" w:space="0"/>
              <w:left w:val="single" w:color="auto" w:sz="4" w:space="0"/>
              <w:bottom w:val="single" w:color="auto" w:sz="4" w:space="0"/>
              <w:right w:val="single" w:color="auto" w:sz="4" w:space="0"/>
            </w:tcBorders>
            <w:vAlign w:val="center"/>
          </w:tcPr>
          <w:p w14:paraId="7A18F9A7">
            <w:pPr>
              <w:jc w:val="center"/>
              <w:rPr>
                <w:rFonts w:hint="eastAsia" w:ascii="宋体" w:hAnsi="宋体" w:eastAsia="宋体"/>
                <w:sz w:val="24"/>
                <w:lang w:val="en-US" w:eastAsia="zh-CN"/>
              </w:rPr>
            </w:pPr>
            <w:r>
              <w:rPr>
                <w:rFonts w:hint="eastAsia" w:ascii="宋体" w:hAnsi="宋体"/>
                <w:sz w:val="24"/>
                <w:lang w:val="en-US" w:eastAsia="zh-CN"/>
              </w:rPr>
              <w:t>C</w:t>
            </w:r>
          </w:p>
        </w:tc>
        <w:tc>
          <w:tcPr>
            <w:tcW w:w="801" w:type="dxa"/>
            <w:tcBorders>
              <w:top w:val="single" w:color="auto" w:sz="4" w:space="0"/>
              <w:left w:val="single" w:color="auto" w:sz="4" w:space="0"/>
              <w:bottom w:val="single" w:color="auto" w:sz="4" w:space="0"/>
              <w:right w:val="single" w:color="auto" w:sz="4" w:space="0"/>
            </w:tcBorders>
            <w:vAlign w:val="center"/>
          </w:tcPr>
          <w:p w14:paraId="2B2E83AA">
            <w:pPr>
              <w:jc w:val="center"/>
              <w:rPr>
                <w:rFonts w:hint="eastAsia" w:ascii="宋体" w:hAnsi="宋体" w:eastAsia="宋体"/>
                <w:sz w:val="24"/>
                <w:lang w:val="en-US" w:eastAsia="zh-CN"/>
              </w:rPr>
            </w:pPr>
            <w:r>
              <w:rPr>
                <w:rFonts w:hint="eastAsia" w:ascii="宋体" w:hAnsi="宋体"/>
                <w:sz w:val="24"/>
                <w:lang w:val="en-US" w:eastAsia="zh-CN"/>
              </w:rPr>
              <w:t>B</w:t>
            </w:r>
          </w:p>
        </w:tc>
        <w:tc>
          <w:tcPr>
            <w:tcW w:w="801" w:type="dxa"/>
            <w:tcBorders>
              <w:top w:val="single" w:color="auto" w:sz="4" w:space="0"/>
              <w:left w:val="single" w:color="auto" w:sz="4" w:space="0"/>
              <w:bottom w:val="single" w:color="auto" w:sz="4" w:space="0"/>
              <w:right w:val="single" w:color="auto" w:sz="4" w:space="0"/>
            </w:tcBorders>
            <w:vAlign w:val="center"/>
          </w:tcPr>
          <w:p w14:paraId="327DDE4F">
            <w:pPr>
              <w:jc w:val="center"/>
              <w:rPr>
                <w:rFonts w:hint="eastAsia" w:ascii="宋体" w:hAnsi="宋体" w:eastAsia="宋体"/>
                <w:sz w:val="24"/>
                <w:lang w:val="en-US" w:eastAsia="zh-CN"/>
              </w:rPr>
            </w:pPr>
            <w:r>
              <w:rPr>
                <w:rFonts w:hint="eastAsia" w:ascii="宋体" w:hAnsi="宋体"/>
                <w:sz w:val="24"/>
                <w:lang w:val="en-US" w:eastAsia="zh-CN"/>
              </w:rPr>
              <w:t>D</w:t>
            </w:r>
          </w:p>
        </w:tc>
        <w:tc>
          <w:tcPr>
            <w:tcW w:w="801" w:type="dxa"/>
            <w:tcBorders>
              <w:top w:val="single" w:color="auto" w:sz="4" w:space="0"/>
              <w:left w:val="single" w:color="auto" w:sz="4" w:space="0"/>
              <w:bottom w:val="single" w:color="auto" w:sz="4" w:space="0"/>
              <w:right w:val="single" w:color="auto" w:sz="4" w:space="0"/>
            </w:tcBorders>
            <w:vAlign w:val="center"/>
          </w:tcPr>
          <w:p w14:paraId="21C65677">
            <w:pPr>
              <w:jc w:val="center"/>
              <w:rPr>
                <w:rFonts w:hint="eastAsia" w:ascii="宋体" w:hAnsi="宋体" w:eastAsia="宋体"/>
                <w:sz w:val="24"/>
                <w:lang w:val="en-US" w:eastAsia="zh-CN"/>
              </w:rPr>
            </w:pPr>
            <w:r>
              <w:rPr>
                <w:rFonts w:hint="eastAsia" w:ascii="宋体" w:hAnsi="宋体"/>
                <w:sz w:val="24"/>
                <w:lang w:val="en-US" w:eastAsia="zh-CN"/>
              </w:rPr>
              <w:t>D</w:t>
            </w:r>
          </w:p>
        </w:tc>
        <w:tc>
          <w:tcPr>
            <w:tcW w:w="800" w:type="dxa"/>
            <w:tcBorders>
              <w:top w:val="single" w:color="auto" w:sz="4" w:space="0"/>
              <w:left w:val="single" w:color="auto" w:sz="4" w:space="0"/>
              <w:bottom w:val="single" w:color="auto" w:sz="4" w:space="0"/>
              <w:right w:val="single" w:color="auto" w:sz="4" w:space="0"/>
            </w:tcBorders>
            <w:vAlign w:val="center"/>
          </w:tcPr>
          <w:p w14:paraId="50EFDDEF">
            <w:pPr>
              <w:jc w:val="center"/>
              <w:rPr>
                <w:rFonts w:hint="eastAsia" w:ascii="宋体" w:hAnsi="宋体"/>
                <w:sz w:val="24"/>
              </w:rPr>
            </w:pPr>
            <w:r>
              <w:rPr>
                <w:rFonts w:hint="eastAsia" w:ascii="宋体" w:hAnsi="宋体"/>
                <w:sz w:val="24"/>
              </w:rPr>
              <w:t>B</w:t>
            </w:r>
          </w:p>
        </w:tc>
        <w:tc>
          <w:tcPr>
            <w:tcW w:w="800" w:type="dxa"/>
            <w:tcBorders>
              <w:top w:val="single" w:color="auto" w:sz="4" w:space="0"/>
              <w:left w:val="single" w:color="auto" w:sz="4" w:space="0"/>
              <w:bottom w:val="single" w:color="auto" w:sz="4" w:space="0"/>
              <w:right w:val="single" w:color="auto" w:sz="4" w:space="0"/>
            </w:tcBorders>
            <w:vAlign w:val="center"/>
          </w:tcPr>
          <w:p w14:paraId="1D21F756">
            <w:pPr>
              <w:jc w:val="center"/>
              <w:rPr>
                <w:rFonts w:hint="eastAsia" w:ascii="宋体" w:hAnsi="宋体"/>
                <w:sz w:val="24"/>
              </w:rPr>
            </w:pPr>
          </w:p>
        </w:tc>
        <w:tc>
          <w:tcPr>
            <w:tcW w:w="800" w:type="dxa"/>
            <w:tcBorders>
              <w:top w:val="single" w:color="auto" w:sz="4" w:space="0"/>
              <w:left w:val="single" w:color="auto" w:sz="4" w:space="0"/>
              <w:bottom w:val="single" w:color="auto" w:sz="4" w:space="0"/>
              <w:right w:val="single" w:color="auto" w:sz="4" w:space="0"/>
            </w:tcBorders>
            <w:vAlign w:val="center"/>
          </w:tcPr>
          <w:p w14:paraId="3B1A6C18">
            <w:pPr>
              <w:jc w:val="center"/>
              <w:rPr>
                <w:rFonts w:hint="eastAsia" w:ascii="宋体" w:hAnsi="宋体"/>
                <w:sz w:val="24"/>
              </w:rPr>
            </w:pPr>
          </w:p>
        </w:tc>
        <w:tc>
          <w:tcPr>
            <w:tcW w:w="800" w:type="dxa"/>
            <w:tcBorders>
              <w:top w:val="single" w:color="auto" w:sz="4" w:space="0"/>
              <w:left w:val="single" w:color="auto" w:sz="4" w:space="0"/>
              <w:bottom w:val="single" w:color="auto" w:sz="4" w:space="0"/>
              <w:right w:val="single" w:color="auto" w:sz="4" w:space="0"/>
            </w:tcBorders>
            <w:vAlign w:val="center"/>
          </w:tcPr>
          <w:p w14:paraId="7FB1A3FD">
            <w:pPr>
              <w:jc w:val="center"/>
              <w:rPr>
                <w:rFonts w:hint="eastAsia" w:ascii="宋体" w:hAnsi="宋体"/>
                <w:sz w:val="24"/>
              </w:rPr>
            </w:pPr>
          </w:p>
        </w:tc>
        <w:tc>
          <w:tcPr>
            <w:tcW w:w="800" w:type="dxa"/>
            <w:tcBorders>
              <w:top w:val="single" w:color="auto" w:sz="4" w:space="0"/>
              <w:left w:val="single" w:color="auto" w:sz="4" w:space="0"/>
              <w:bottom w:val="single" w:color="auto" w:sz="4" w:space="0"/>
              <w:right w:val="single" w:color="auto" w:sz="4" w:space="0"/>
            </w:tcBorders>
            <w:vAlign w:val="center"/>
          </w:tcPr>
          <w:p w14:paraId="5CED27DB">
            <w:pPr>
              <w:jc w:val="center"/>
              <w:rPr>
                <w:rFonts w:hint="eastAsia" w:ascii="宋体" w:hAnsi="宋体"/>
                <w:sz w:val="24"/>
              </w:rPr>
            </w:pPr>
          </w:p>
        </w:tc>
      </w:tr>
    </w:tbl>
    <w:p w14:paraId="67DD0FAC">
      <w:pPr>
        <w:pStyle w:val="2"/>
        <w:tabs>
          <w:tab w:val="left" w:pos="840"/>
        </w:tabs>
        <w:spacing w:before="0" w:beforeAutospacing="0" w:after="0" w:afterAutospacing="0"/>
        <w:rPr>
          <w:rFonts w:hint="eastAsia"/>
          <w:b/>
          <w:sz w:val="21"/>
          <w:szCs w:val="21"/>
        </w:rPr>
      </w:pPr>
      <w:r>
        <w:rPr>
          <w:rFonts w:hint="eastAsia"/>
          <w:b/>
          <w:sz w:val="21"/>
          <w:szCs w:val="21"/>
        </w:rPr>
        <w:t>二、判断题</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0"/>
        <w:gridCol w:w="800"/>
        <w:gridCol w:w="801"/>
        <w:gridCol w:w="801"/>
        <w:gridCol w:w="801"/>
        <w:gridCol w:w="800"/>
        <w:gridCol w:w="800"/>
        <w:gridCol w:w="800"/>
        <w:gridCol w:w="800"/>
        <w:gridCol w:w="800"/>
      </w:tblGrid>
      <w:tr w14:paraId="78357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00" w:type="dxa"/>
            <w:vAlign w:val="center"/>
          </w:tcPr>
          <w:p w14:paraId="26AF254F">
            <w:pPr>
              <w:jc w:val="center"/>
              <w:rPr>
                <w:rFonts w:hint="eastAsia" w:ascii="宋体" w:hAnsi="宋体"/>
                <w:sz w:val="24"/>
              </w:rPr>
            </w:pPr>
            <w:r>
              <w:rPr>
                <w:rFonts w:hint="eastAsia" w:ascii="宋体" w:hAnsi="宋体"/>
                <w:sz w:val="24"/>
              </w:rPr>
              <w:t>1</w:t>
            </w:r>
          </w:p>
        </w:tc>
        <w:tc>
          <w:tcPr>
            <w:tcW w:w="800" w:type="dxa"/>
            <w:vAlign w:val="center"/>
          </w:tcPr>
          <w:p w14:paraId="283709CA">
            <w:pPr>
              <w:jc w:val="center"/>
              <w:rPr>
                <w:rFonts w:hint="eastAsia" w:ascii="宋体" w:hAnsi="宋体"/>
                <w:sz w:val="24"/>
              </w:rPr>
            </w:pPr>
            <w:r>
              <w:rPr>
                <w:rFonts w:hint="eastAsia" w:ascii="宋体" w:hAnsi="宋体"/>
                <w:sz w:val="24"/>
              </w:rPr>
              <w:t>2</w:t>
            </w:r>
          </w:p>
        </w:tc>
        <w:tc>
          <w:tcPr>
            <w:tcW w:w="801" w:type="dxa"/>
            <w:vAlign w:val="center"/>
          </w:tcPr>
          <w:p w14:paraId="627F45CD">
            <w:pPr>
              <w:jc w:val="center"/>
              <w:rPr>
                <w:rFonts w:hint="eastAsia" w:ascii="宋体" w:hAnsi="宋体"/>
                <w:sz w:val="24"/>
              </w:rPr>
            </w:pPr>
            <w:r>
              <w:rPr>
                <w:rFonts w:hint="eastAsia" w:ascii="宋体" w:hAnsi="宋体"/>
                <w:sz w:val="24"/>
              </w:rPr>
              <w:t>3</w:t>
            </w:r>
          </w:p>
        </w:tc>
        <w:tc>
          <w:tcPr>
            <w:tcW w:w="801" w:type="dxa"/>
            <w:vAlign w:val="center"/>
          </w:tcPr>
          <w:p w14:paraId="47A5A4E3">
            <w:pPr>
              <w:jc w:val="center"/>
              <w:rPr>
                <w:rFonts w:hint="eastAsia" w:ascii="宋体" w:hAnsi="宋体"/>
                <w:sz w:val="24"/>
              </w:rPr>
            </w:pPr>
            <w:r>
              <w:rPr>
                <w:rFonts w:hint="eastAsia" w:ascii="宋体" w:hAnsi="宋体"/>
                <w:sz w:val="24"/>
              </w:rPr>
              <w:t>4</w:t>
            </w:r>
          </w:p>
        </w:tc>
        <w:tc>
          <w:tcPr>
            <w:tcW w:w="801" w:type="dxa"/>
            <w:vAlign w:val="center"/>
          </w:tcPr>
          <w:p w14:paraId="38B36305">
            <w:pPr>
              <w:jc w:val="center"/>
              <w:rPr>
                <w:rFonts w:hint="eastAsia" w:ascii="宋体" w:hAnsi="宋体" w:eastAsia="宋体"/>
                <w:sz w:val="24"/>
                <w:lang w:val="en-US" w:eastAsia="zh-CN"/>
              </w:rPr>
            </w:pPr>
            <w:r>
              <w:rPr>
                <w:rFonts w:hint="eastAsia" w:ascii="宋体" w:hAnsi="宋体"/>
                <w:sz w:val="24"/>
                <w:lang w:val="en-US" w:eastAsia="zh-CN"/>
              </w:rPr>
              <w:t>5</w:t>
            </w:r>
          </w:p>
        </w:tc>
        <w:tc>
          <w:tcPr>
            <w:tcW w:w="800" w:type="dxa"/>
            <w:vAlign w:val="center"/>
          </w:tcPr>
          <w:p w14:paraId="54EA8664">
            <w:pPr>
              <w:jc w:val="center"/>
              <w:rPr>
                <w:rFonts w:hint="eastAsia" w:ascii="宋体" w:hAnsi="宋体" w:eastAsia="宋体"/>
                <w:sz w:val="24"/>
                <w:lang w:val="en-US" w:eastAsia="zh-CN"/>
              </w:rPr>
            </w:pPr>
            <w:r>
              <w:rPr>
                <w:rFonts w:hint="eastAsia" w:ascii="宋体" w:hAnsi="宋体"/>
                <w:sz w:val="24"/>
                <w:lang w:val="en-US" w:eastAsia="zh-CN"/>
              </w:rPr>
              <w:t>6</w:t>
            </w:r>
          </w:p>
        </w:tc>
        <w:tc>
          <w:tcPr>
            <w:tcW w:w="800" w:type="dxa"/>
            <w:vAlign w:val="center"/>
          </w:tcPr>
          <w:p w14:paraId="4432806C">
            <w:pPr>
              <w:jc w:val="center"/>
              <w:rPr>
                <w:rFonts w:hint="eastAsia" w:ascii="宋体" w:hAnsi="宋体"/>
                <w:sz w:val="24"/>
              </w:rPr>
            </w:pPr>
          </w:p>
        </w:tc>
        <w:tc>
          <w:tcPr>
            <w:tcW w:w="800" w:type="dxa"/>
            <w:vAlign w:val="center"/>
          </w:tcPr>
          <w:p w14:paraId="60757DC2">
            <w:pPr>
              <w:jc w:val="center"/>
              <w:rPr>
                <w:rFonts w:hint="eastAsia" w:ascii="宋体" w:hAnsi="宋体"/>
                <w:sz w:val="24"/>
              </w:rPr>
            </w:pPr>
          </w:p>
        </w:tc>
        <w:tc>
          <w:tcPr>
            <w:tcW w:w="800" w:type="dxa"/>
            <w:vAlign w:val="center"/>
          </w:tcPr>
          <w:p w14:paraId="1666631B">
            <w:pPr>
              <w:jc w:val="center"/>
              <w:rPr>
                <w:rFonts w:hint="eastAsia" w:ascii="宋体" w:hAnsi="宋体"/>
                <w:sz w:val="24"/>
              </w:rPr>
            </w:pPr>
          </w:p>
        </w:tc>
        <w:tc>
          <w:tcPr>
            <w:tcW w:w="800" w:type="dxa"/>
            <w:vAlign w:val="center"/>
          </w:tcPr>
          <w:p w14:paraId="70F4BE4D">
            <w:pPr>
              <w:jc w:val="center"/>
              <w:rPr>
                <w:rFonts w:hint="eastAsia" w:ascii="宋体" w:hAnsi="宋体" w:eastAsia="宋体"/>
                <w:sz w:val="24"/>
                <w:lang w:eastAsia="zh-CN"/>
              </w:rPr>
            </w:pPr>
          </w:p>
        </w:tc>
      </w:tr>
      <w:tr w14:paraId="17CA6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00" w:type="dxa"/>
            <w:vAlign w:val="center"/>
          </w:tcPr>
          <w:p w14:paraId="3570D391">
            <w:pPr>
              <w:jc w:val="center"/>
              <w:rPr>
                <w:rFonts w:hint="eastAsia" w:ascii="宋体" w:hAnsi="宋体"/>
                <w:sz w:val="24"/>
              </w:rPr>
            </w:pPr>
            <w:r>
              <w:rPr>
                <w:rFonts w:hint="eastAsia"/>
                <w:szCs w:val="21"/>
              </w:rPr>
              <w:t>√</w:t>
            </w:r>
          </w:p>
        </w:tc>
        <w:tc>
          <w:tcPr>
            <w:tcW w:w="800" w:type="dxa"/>
            <w:vAlign w:val="center"/>
          </w:tcPr>
          <w:p w14:paraId="447138AB">
            <w:pPr>
              <w:jc w:val="center"/>
              <w:rPr>
                <w:rFonts w:hint="eastAsia" w:ascii="宋体" w:hAnsi="宋体"/>
                <w:sz w:val="24"/>
              </w:rPr>
            </w:pPr>
            <w:r>
              <w:rPr>
                <w:rFonts w:hint="eastAsia"/>
                <w:szCs w:val="21"/>
              </w:rPr>
              <w:t>×</w:t>
            </w:r>
          </w:p>
        </w:tc>
        <w:tc>
          <w:tcPr>
            <w:tcW w:w="801" w:type="dxa"/>
            <w:vAlign w:val="center"/>
          </w:tcPr>
          <w:p w14:paraId="4697CD8A">
            <w:pPr>
              <w:jc w:val="center"/>
              <w:rPr>
                <w:rFonts w:hint="eastAsia" w:ascii="宋体" w:hAnsi="宋体"/>
                <w:sz w:val="24"/>
              </w:rPr>
            </w:pPr>
            <w:r>
              <w:rPr>
                <w:rFonts w:hint="eastAsia"/>
                <w:szCs w:val="21"/>
              </w:rPr>
              <w:t>×</w:t>
            </w:r>
          </w:p>
        </w:tc>
        <w:tc>
          <w:tcPr>
            <w:tcW w:w="801" w:type="dxa"/>
            <w:vAlign w:val="center"/>
          </w:tcPr>
          <w:p w14:paraId="48B503AB">
            <w:pPr>
              <w:jc w:val="center"/>
              <w:rPr>
                <w:rFonts w:hint="eastAsia" w:ascii="宋体" w:hAnsi="宋体"/>
                <w:sz w:val="24"/>
              </w:rPr>
            </w:pPr>
            <w:r>
              <w:rPr>
                <w:rFonts w:hint="eastAsia"/>
                <w:szCs w:val="21"/>
              </w:rPr>
              <w:t>√</w:t>
            </w:r>
          </w:p>
        </w:tc>
        <w:tc>
          <w:tcPr>
            <w:tcW w:w="801" w:type="dxa"/>
            <w:vAlign w:val="center"/>
          </w:tcPr>
          <w:p w14:paraId="635A9D79">
            <w:pPr>
              <w:jc w:val="center"/>
              <w:rPr>
                <w:rFonts w:hint="eastAsia" w:ascii="宋体" w:hAnsi="宋体"/>
                <w:sz w:val="24"/>
              </w:rPr>
            </w:pPr>
            <w:r>
              <w:rPr>
                <w:rFonts w:hint="eastAsia"/>
                <w:szCs w:val="21"/>
              </w:rPr>
              <w:t xml:space="preserve">× </w:t>
            </w:r>
          </w:p>
        </w:tc>
        <w:tc>
          <w:tcPr>
            <w:tcW w:w="800" w:type="dxa"/>
            <w:vAlign w:val="center"/>
          </w:tcPr>
          <w:p w14:paraId="26580972">
            <w:pPr>
              <w:jc w:val="center"/>
              <w:rPr>
                <w:rFonts w:hint="eastAsia" w:ascii="宋体" w:hAnsi="宋体"/>
                <w:sz w:val="24"/>
              </w:rPr>
            </w:pPr>
            <w:r>
              <w:rPr>
                <w:rFonts w:hint="eastAsia"/>
                <w:szCs w:val="21"/>
              </w:rPr>
              <w:t>×</w:t>
            </w:r>
          </w:p>
        </w:tc>
        <w:tc>
          <w:tcPr>
            <w:tcW w:w="800" w:type="dxa"/>
            <w:vAlign w:val="center"/>
          </w:tcPr>
          <w:p w14:paraId="1A6F0FC4">
            <w:pPr>
              <w:jc w:val="center"/>
              <w:rPr>
                <w:rFonts w:hint="eastAsia" w:ascii="宋体" w:hAnsi="宋体"/>
                <w:sz w:val="24"/>
              </w:rPr>
            </w:pPr>
          </w:p>
        </w:tc>
        <w:tc>
          <w:tcPr>
            <w:tcW w:w="800" w:type="dxa"/>
            <w:vAlign w:val="center"/>
          </w:tcPr>
          <w:p w14:paraId="31BC9245">
            <w:pPr>
              <w:jc w:val="center"/>
              <w:rPr>
                <w:rFonts w:hint="eastAsia" w:ascii="宋体" w:hAnsi="宋体"/>
                <w:sz w:val="24"/>
              </w:rPr>
            </w:pPr>
          </w:p>
        </w:tc>
        <w:tc>
          <w:tcPr>
            <w:tcW w:w="800" w:type="dxa"/>
            <w:vAlign w:val="center"/>
          </w:tcPr>
          <w:p w14:paraId="2A442028">
            <w:pPr>
              <w:jc w:val="center"/>
              <w:rPr>
                <w:rFonts w:hint="eastAsia" w:ascii="宋体" w:hAnsi="宋体"/>
                <w:sz w:val="24"/>
              </w:rPr>
            </w:pPr>
          </w:p>
        </w:tc>
        <w:tc>
          <w:tcPr>
            <w:tcW w:w="800" w:type="dxa"/>
            <w:vAlign w:val="center"/>
          </w:tcPr>
          <w:p w14:paraId="12927620">
            <w:pPr>
              <w:jc w:val="center"/>
              <w:rPr>
                <w:rFonts w:hint="eastAsia" w:ascii="宋体" w:hAnsi="宋体"/>
                <w:sz w:val="24"/>
              </w:rPr>
            </w:pPr>
          </w:p>
        </w:tc>
      </w:tr>
      <w:tr w14:paraId="28A0C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00" w:type="dxa"/>
            <w:tcBorders>
              <w:top w:val="single" w:color="auto" w:sz="4" w:space="0"/>
              <w:left w:val="single" w:color="auto" w:sz="4" w:space="0"/>
              <w:bottom w:val="single" w:color="auto" w:sz="4" w:space="0"/>
              <w:right w:val="single" w:color="auto" w:sz="4" w:space="0"/>
            </w:tcBorders>
            <w:vAlign w:val="center"/>
          </w:tcPr>
          <w:p w14:paraId="4B53C9BE">
            <w:pPr>
              <w:jc w:val="center"/>
              <w:rPr>
                <w:rFonts w:hint="eastAsia" w:ascii="宋体" w:hAnsi="宋体" w:eastAsia="宋体"/>
                <w:sz w:val="24"/>
                <w:lang w:eastAsia="zh-CN"/>
              </w:rPr>
            </w:pPr>
            <w:r>
              <w:rPr>
                <w:rFonts w:hint="eastAsia" w:ascii="宋体" w:hAnsi="宋体"/>
                <w:sz w:val="24"/>
                <w:lang w:val="en-US" w:eastAsia="zh-CN"/>
              </w:rPr>
              <w:t>7</w:t>
            </w:r>
          </w:p>
        </w:tc>
        <w:tc>
          <w:tcPr>
            <w:tcW w:w="800" w:type="dxa"/>
            <w:tcBorders>
              <w:top w:val="single" w:color="auto" w:sz="4" w:space="0"/>
              <w:left w:val="single" w:color="auto" w:sz="4" w:space="0"/>
              <w:bottom w:val="single" w:color="auto" w:sz="4" w:space="0"/>
              <w:right w:val="single" w:color="auto" w:sz="4" w:space="0"/>
            </w:tcBorders>
            <w:vAlign w:val="center"/>
          </w:tcPr>
          <w:p w14:paraId="686F675F">
            <w:pPr>
              <w:jc w:val="center"/>
              <w:rPr>
                <w:rFonts w:hint="eastAsia" w:ascii="宋体" w:hAnsi="宋体" w:eastAsia="宋体"/>
                <w:sz w:val="24"/>
                <w:lang w:eastAsia="zh-CN"/>
              </w:rPr>
            </w:pPr>
            <w:r>
              <w:rPr>
                <w:rFonts w:hint="eastAsia" w:ascii="宋体" w:hAnsi="宋体"/>
                <w:sz w:val="24"/>
                <w:lang w:val="en-US" w:eastAsia="zh-CN"/>
              </w:rPr>
              <w:t>8</w:t>
            </w:r>
          </w:p>
        </w:tc>
        <w:tc>
          <w:tcPr>
            <w:tcW w:w="801" w:type="dxa"/>
            <w:tcBorders>
              <w:top w:val="single" w:color="auto" w:sz="4" w:space="0"/>
              <w:left w:val="single" w:color="auto" w:sz="4" w:space="0"/>
              <w:bottom w:val="single" w:color="auto" w:sz="4" w:space="0"/>
              <w:right w:val="single" w:color="auto" w:sz="4" w:space="0"/>
            </w:tcBorders>
            <w:vAlign w:val="center"/>
          </w:tcPr>
          <w:p w14:paraId="14DD9031">
            <w:pPr>
              <w:jc w:val="center"/>
              <w:rPr>
                <w:rFonts w:hint="eastAsia" w:ascii="宋体" w:hAnsi="宋体" w:eastAsia="宋体"/>
                <w:sz w:val="24"/>
                <w:lang w:eastAsia="zh-CN"/>
              </w:rPr>
            </w:pPr>
            <w:r>
              <w:rPr>
                <w:rFonts w:hint="eastAsia" w:ascii="宋体" w:hAnsi="宋体"/>
                <w:sz w:val="24"/>
                <w:lang w:val="en-US" w:eastAsia="zh-CN"/>
              </w:rPr>
              <w:t>9</w:t>
            </w:r>
          </w:p>
        </w:tc>
        <w:tc>
          <w:tcPr>
            <w:tcW w:w="801" w:type="dxa"/>
            <w:tcBorders>
              <w:top w:val="single" w:color="auto" w:sz="4" w:space="0"/>
              <w:left w:val="single" w:color="auto" w:sz="4" w:space="0"/>
              <w:bottom w:val="single" w:color="auto" w:sz="4" w:space="0"/>
              <w:right w:val="single" w:color="auto" w:sz="4" w:space="0"/>
            </w:tcBorders>
            <w:vAlign w:val="center"/>
          </w:tcPr>
          <w:p w14:paraId="12F151C4">
            <w:pPr>
              <w:jc w:val="center"/>
              <w:rPr>
                <w:rFonts w:hint="eastAsia" w:ascii="宋体" w:hAnsi="宋体" w:eastAsia="宋体"/>
                <w:sz w:val="24"/>
                <w:lang w:eastAsia="zh-CN"/>
              </w:rPr>
            </w:pPr>
            <w:r>
              <w:rPr>
                <w:rFonts w:ascii="宋体" w:hAnsi="宋体"/>
                <w:sz w:val="24"/>
              </w:rPr>
              <w:t>1</w:t>
            </w:r>
            <w:r>
              <w:rPr>
                <w:rFonts w:hint="eastAsia" w:ascii="宋体" w:hAnsi="宋体"/>
                <w:sz w:val="24"/>
                <w:lang w:val="en-US" w:eastAsia="zh-CN"/>
              </w:rPr>
              <w:t>0</w:t>
            </w:r>
          </w:p>
        </w:tc>
        <w:tc>
          <w:tcPr>
            <w:tcW w:w="801" w:type="dxa"/>
            <w:tcBorders>
              <w:top w:val="single" w:color="auto" w:sz="4" w:space="0"/>
              <w:left w:val="single" w:color="auto" w:sz="4" w:space="0"/>
              <w:bottom w:val="single" w:color="auto" w:sz="4" w:space="0"/>
              <w:right w:val="single" w:color="auto" w:sz="4" w:space="0"/>
            </w:tcBorders>
            <w:vAlign w:val="center"/>
          </w:tcPr>
          <w:p w14:paraId="4EDA74E3">
            <w:pPr>
              <w:jc w:val="center"/>
              <w:rPr>
                <w:rFonts w:hint="eastAsia" w:ascii="宋体" w:hAnsi="宋体" w:eastAsia="宋体"/>
                <w:sz w:val="24"/>
                <w:lang w:eastAsia="zh-CN"/>
              </w:rPr>
            </w:pPr>
            <w:r>
              <w:rPr>
                <w:rFonts w:ascii="宋体" w:hAnsi="宋体"/>
                <w:sz w:val="24"/>
              </w:rPr>
              <w:t>1</w:t>
            </w:r>
            <w:r>
              <w:rPr>
                <w:rFonts w:hint="eastAsia" w:ascii="宋体" w:hAnsi="宋体"/>
                <w:sz w:val="24"/>
                <w:lang w:val="en-US" w:eastAsia="zh-CN"/>
              </w:rPr>
              <w:t>1</w:t>
            </w:r>
          </w:p>
        </w:tc>
        <w:tc>
          <w:tcPr>
            <w:tcW w:w="800" w:type="dxa"/>
            <w:tcBorders>
              <w:top w:val="single" w:color="auto" w:sz="4" w:space="0"/>
              <w:left w:val="single" w:color="auto" w:sz="4" w:space="0"/>
              <w:bottom w:val="single" w:color="auto" w:sz="4" w:space="0"/>
              <w:right w:val="single" w:color="auto" w:sz="4" w:space="0"/>
            </w:tcBorders>
            <w:vAlign w:val="center"/>
          </w:tcPr>
          <w:p w14:paraId="2DC31A82">
            <w:pPr>
              <w:jc w:val="center"/>
              <w:rPr>
                <w:rFonts w:hint="eastAsia" w:ascii="宋体" w:hAnsi="宋体" w:eastAsia="宋体"/>
                <w:sz w:val="24"/>
                <w:lang w:eastAsia="zh-CN"/>
              </w:rPr>
            </w:pPr>
            <w:r>
              <w:rPr>
                <w:rFonts w:ascii="宋体" w:hAnsi="宋体"/>
                <w:sz w:val="24"/>
              </w:rPr>
              <w:t>1</w:t>
            </w:r>
            <w:r>
              <w:rPr>
                <w:rFonts w:hint="eastAsia" w:ascii="宋体" w:hAnsi="宋体"/>
                <w:sz w:val="24"/>
                <w:lang w:val="en-US" w:eastAsia="zh-CN"/>
              </w:rPr>
              <w:t>2</w:t>
            </w:r>
          </w:p>
        </w:tc>
        <w:tc>
          <w:tcPr>
            <w:tcW w:w="800" w:type="dxa"/>
            <w:tcBorders>
              <w:top w:val="single" w:color="auto" w:sz="4" w:space="0"/>
              <w:left w:val="single" w:color="auto" w:sz="4" w:space="0"/>
              <w:bottom w:val="single" w:color="auto" w:sz="4" w:space="0"/>
              <w:right w:val="single" w:color="auto" w:sz="4" w:space="0"/>
            </w:tcBorders>
            <w:vAlign w:val="center"/>
          </w:tcPr>
          <w:p w14:paraId="30DCB23D">
            <w:pPr>
              <w:jc w:val="center"/>
              <w:rPr>
                <w:rFonts w:hint="eastAsia" w:ascii="宋体" w:hAnsi="宋体" w:eastAsia="宋体"/>
                <w:sz w:val="24"/>
                <w:lang w:eastAsia="zh-CN"/>
              </w:rPr>
            </w:pPr>
            <w:r>
              <w:rPr>
                <w:rFonts w:ascii="宋体" w:hAnsi="宋体"/>
                <w:sz w:val="24"/>
              </w:rPr>
              <w:t>1</w:t>
            </w:r>
            <w:r>
              <w:rPr>
                <w:rFonts w:hint="eastAsia" w:ascii="宋体" w:hAnsi="宋体"/>
                <w:sz w:val="24"/>
                <w:lang w:val="en-US" w:eastAsia="zh-CN"/>
              </w:rPr>
              <w:t>3</w:t>
            </w:r>
          </w:p>
        </w:tc>
        <w:tc>
          <w:tcPr>
            <w:tcW w:w="800" w:type="dxa"/>
            <w:tcBorders>
              <w:top w:val="single" w:color="auto" w:sz="4" w:space="0"/>
              <w:left w:val="single" w:color="auto" w:sz="4" w:space="0"/>
              <w:bottom w:val="single" w:color="auto" w:sz="4" w:space="0"/>
              <w:right w:val="single" w:color="auto" w:sz="4" w:space="0"/>
            </w:tcBorders>
            <w:vAlign w:val="center"/>
          </w:tcPr>
          <w:p w14:paraId="1DAE8CCD">
            <w:pPr>
              <w:jc w:val="center"/>
              <w:rPr>
                <w:rFonts w:hint="eastAsia" w:ascii="宋体" w:hAnsi="宋体" w:eastAsia="宋体"/>
                <w:sz w:val="24"/>
                <w:lang w:eastAsia="zh-CN"/>
              </w:rPr>
            </w:pPr>
            <w:r>
              <w:rPr>
                <w:rFonts w:ascii="宋体" w:hAnsi="宋体"/>
                <w:sz w:val="24"/>
              </w:rPr>
              <w:t>1</w:t>
            </w:r>
            <w:r>
              <w:rPr>
                <w:rFonts w:hint="eastAsia" w:ascii="宋体" w:hAnsi="宋体"/>
                <w:sz w:val="24"/>
                <w:lang w:val="en-US" w:eastAsia="zh-CN"/>
              </w:rPr>
              <w:t>4</w:t>
            </w:r>
          </w:p>
        </w:tc>
        <w:tc>
          <w:tcPr>
            <w:tcW w:w="800" w:type="dxa"/>
            <w:tcBorders>
              <w:top w:val="single" w:color="auto" w:sz="4" w:space="0"/>
              <w:left w:val="single" w:color="auto" w:sz="4" w:space="0"/>
              <w:bottom w:val="single" w:color="auto" w:sz="4" w:space="0"/>
              <w:right w:val="single" w:color="auto" w:sz="4" w:space="0"/>
            </w:tcBorders>
            <w:vAlign w:val="center"/>
          </w:tcPr>
          <w:p w14:paraId="4C5C689E">
            <w:pPr>
              <w:jc w:val="center"/>
              <w:rPr>
                <w:rFonts w:hint="eastAsia" w:ascii="宋体" w:hAnsi="宋体" w:eastAsia="宋体"/>
                <w:sz w:val="24"/>
                <w:lang w:eastAsia="zh-CN"/>
              </w:rPr>
            </w:pPr>
            <w:r>
              <w:rPr>
                <w:rFonts w:ascii="宋体" w:hAnsi="宋体"/>
                <w:sz w:val="24"/>
              </w:rPr>
              <w:t>1</w:t>
            </w:r>
            <w:r>
              <w:rPr>
                <w:rFonts w:hint="eastAsia" w:ascii="宋体" w:hAnsi="宋体"/>
                <w:sz w:val="24"/>
                <w:lang w:val="en-US" w:eastAsia="zh-CN"/>
              </w:rPr>
              <w:t>5</w:t>
            </w:r>
          </w:p>
        </w:tc>
        <w:tc>
          <w:tcPr>
            <w:tcW w:w="800" w:type="dxa"/>
            <w:tcBorders>
              <w:top w:val="single" w:color="auto" w:sz="4" w:space="0"/>
              <w:left w:val="single" w:color="auto" w:sz="4" w:space="0"/>
              <w:bottom w:val="single" w:color="auto" w:sz="4" w:space="0"/>
              <w:right w:val="single" w:color="auto" w:sz="4" w:space="0"/>
            </w:tcBorders>
            <w:vAlign w:val="center"/>
          </w:tcPr>
          <w:p w14:paraId="10264E91">
            <w:pPr>
              <w:jc w:val="center"/>
              <w:rPr>
                <w:rFonts w:hint="default" w:ascii="宋体" w:hAnsi="宋体" w:eastAsia="宋体"/>
                <w:sz w:val="24"/>
                <w:lang w:val="en-US" w:eastAsia="zh-CN"/>
              </w:rPr>
            </w:pPr>
            <w:r>
              <w:rPr>
                <w:rFonts w:hint="eastAsia" w:ascii="宋体" w:hAnsi="宋体"/>
                <w:sz w:val="24"/>
                <w:lang w:val="en-US" w:eastAsia="zh-CN"/>
              </w:rPr>
              <w:t>16</w:t>
            </w:r>
          </w:p>
        </w:tc>
      </w:tr>
      <w:tr w14:paraId="67ED3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00" w:type="dxa"/>
            <w:tcBorders>
              <w:top w:val="single" w:color="auto" w:sz="4" w:space="0"/>
              <w:left w:val="single" w:color="auto" w:sz="4" w:space="0"/>
              <w:bottom w:val="single" w:color="auto" w:sz="4" w:space="0"/>
              <w:right w:val="single" w:color="auto" w:sz="4" w:space="0"/>
            </w:tcBorders>
            <w:vAlign w:val="center"/>
          </w:tcPr>
          <w:p w14:paraId="3B7213C1">
            <w:pPr>
              <w:jc w:val="center"/>
              <w:rPr>
                <w:rFonts w:hint="eastAsia" w:ascii="宋体" w:hAnsi="宋体"/>
                <w:sz w:val="24"/>
              </w:rPr>
            </w:pPr>
            <w:r>
              <w:rPr>
                <w:rFonts w:hint="eastAsia"/>
                <w:szCs w:val="21"/>
              </w:rPr>
              <w:t>√</w:t>
            </w:r>
          </w:p>
        </w:tc>
        <w:tc>
          <w:tcPr>
            <w:tcW w:w="800" w:type="dxa"/>
            <w:tcBorders>
              <w:top w:val="single" w:color="auto" w:sz="4" w:space="0"/>
              <w:left w:val="single" w:color="auto" w:sz="4" w:space="0"/>
              <w:bottom w:val="single" w:color="auto" w:sz="4" w:space="0"/>
              <w:right w:val="single" w:color="auto" w:sz="4" w:space="0"/>
            </w:tcBorders>
            <w:vAlign w:val="center"/>
          </w:tcPr>
          <w:p w14:paraId="226C9DF8">
            <w:pPr>
              <w:jc w:val="center"/>
              <w:rPr>
                <w:rFonts w:hint="eastAsia" w:ascii="宋体" w:hAnsi="宋体"/>
                <w:sz w:val="24"/>
              </w:rPr>
            </w:pPr>
            <w:r>
              <w:rPr>
                <w:rFonts w:hint="eastAsia"/>
                <w:szCs w:val="21"/>
              </w:rPr>
              <w:t>×</w:t>
            </w:r>
          </w:p>
        </w:tc>
        <w:tc>
          <w:tcPr>
            <w:tcW w:w="801" w:type="dxa"/>
            <w:tcBorders>
              <w:top w:val="single" w:color="auto" w:sz="4" w:space="0"/>
              <w:left w:val="single" w:color="auto" w:sz="4" w:space="0"/>
              <w:bottom w:val="single" w:color="auto" w:sz="4" w:space="0"/>
              <w:right w:val="single" w:color="auto" w:sz="4" w:space="0"/>
            </w:tcBorders>
            <w:vAlign w:val="center"/>
          </w:tcPr>
          <w:p w14:paraId="3BF4F82E">
            <w:pPr>
              <w:jc w:val="center"/>
              <w:rPr>
                <w:rFonts w:hint="eastAsia" w:ascii="宋体" w:hAnsi="宋体"/>
                <w:sz w:val="24"/>
              </w:rPr>
            </w:pPr>
            <w:r>
              <w:rPr>
                <w:rFonts w:hint="eastAsia"/>
                <w:szCs w:val="21"/>
              </w:rPr>
              <w:t>√</w:t>
            </w:r>
          </w:p>
        </w:tc>
        <w:tc>
          <w:tcPr>
            <w:tcW w:w="801" w:type="dxa"/>
            <w:tcBorders>
              <w:top w:val="single" w:color="auto" w:sz="4" w:space="0"/>
              <w:left w:val="single" w:color="auto" w:sz="4" w:space="0"/>
              <w:bottom w:val="single" w:color="auto" w:sz="4" w:space="0"/>
              <w:right w:val="single" w:color="auto" w:sz="4" w:space="0"/>
            </w:tcBorders>
            <w:vAlign w:val="center"/>
          </w:tcPr>
          <w:p w14:paraId="3FE1C252">
            <w:pPr>
              <w:jc w:val="center"/>
              <w:rPr>
                <w:rFonts w:hint="eastAsia" w:ascii="宋体" w:hAnsi="宋体"/>
                <w:sz w:val="24"/>
              </w:rPr>
            </w:pPr>
            <w:r>
              <w:rPr>
                <w:rFonts w:hint="eastAsia"/>
                <w:szCs w:val="21"/>
              </w:rPr>
              <w:t>√</w:t>
            </w:r>
          </w:p>
        </w:tc>
        <w:tc>
          <w:tcPr>
            <w:tcW w:w="801" w:type="dxa"/>
            <w:tcBorders>
              <w:top w:val="single" w:color="auto" w:sz="4" w:space="0"/>
              <w:left w:val="single" w:color="auto" w:sz="4" w:space="0"/>
              <w:bottom w:val="single" w:color="auto" w:sz="4" w:space="0"/>
              <w:right w:val="single" w:color="auto" w:sz="4" w:space="0"/>
            </w:tcBorders>
            <w:vAlign w:val="center"/>
          </w:tcPr>
          <w:p w14:paraId="52E893D0">
            <w:pPr>
              <w:jc w:val="center"/>
              <w:rPr>
                <w:rFonts w:hint="eastAsia" w:ascii="宋体" w:hAnsi="宋体"/>
                <w:sz w:val="24"/>
              </w:rPr>
            </w:pPr>
            <w:r>
              <w:rPr>
                <w:szCs w:val="21"/>
              </w:rPr>
              <w:t xml:space="preserve"> </w:t>
            </w:r>
            <w:r>
              <w:rPr>
                <w:rFonts w:hint="eastAsia"/>
                <w:szCs w:val="21"/>
              </w:rPr>
              <w:t>×</w:t>
            </w:r>
          </w:p>
        </w:tc>
        <w:tc>
          <w:tcPr>
            <w:tcW w:w="800" w:type="dxa"/>
            <w:tcBorders>
              <w:top w:val="single" w:color="auto" w:sz="4" w:space="0"/>
              <w:left w:val="single" w:color="auto" w:sz="4" w:space="0"/>
              <w:bottom w:val="single" w:color="auto" w:sz="4" w:space="0"/>
              <w:right w:val="single" w:color="auto" w:sz="4" w:space="0"/>
            </w:tcBorders>
            <w:vAlign w:val="center"/>
          </w:tcPr>
          <w:p w14:paraId="3F7B6C1A">
            <w:pPr>
              <w:jc w:val="center"/>
              <w:rPr>
                <w:rFonts w:hint="eastAsia" w:ascii="宋体" w:hAnsi="宋体"/>
                <w:sz w:val="24"/>
              </w:rPr>
            </w:pPr>
            <w:r>
              <w:rPr>
                <w:rFonts w:hint="eastAsia"/>
                <w:szCs w:val="21"/>
              </w:rPr>
              <w:t>√</w:t>
            </w:r>
          </w:p>
        </w:tc>
        <w:tc>
          <w:tcPr>
            <w:tcW w:w="800" w:type="dxa"/>
            <w:tcBorders>
              <w:top w:val="single" w:color="auto" w:sz="4" w:space="0"/>
              <w:left w:val="single" w:color="auto" w:sz="4" w:space="0"/>
              <w:bottom w:val="single" w:color="auto" w:sz="4" w:space="0"/>
              <w:right w:val="single" w:color="auto" w:sz="4" w:space="0"/>
            </w:tcBorders>
            <w:vAlign w:val="center"/>
          </w:tcPr>
          <w:p w14:paraId="7CEEFD9B">
            <w:pPr>
              <w:jc w:val="center"/>
              <w:rPr>
                <w:rFonts w:hint="eastAsia" w:ascii="宋体" w:hAnsi="宋体"/>
                <w:sz w:val="24"/>
              </w:rPr>
            </w:pPr>
            <w:r>
              <w:rPr>
                <w:rFonts w:hint="eastAsia"/>
                <w:szCs w:val="21"/>
              </w:rPr>
              <w:t>√</w:t>
            </w:r>
          </w:p>
        </w:tc>
        <w:tc>
          <w:tcPr>
            <w:tcW w:w="800" w:type="dxa"/>
            <w:tcBorders>
              <w:top w:val="single" w:color="auto" w:sz="4" w:space="0"/>
              <w:left w:val="single" w:color="auto" w:sz="4" w:space="0"/>
              <w:bottom w:val="single" w:color="auto" w:sz="4" w:space="0"/>
              <w:right w:val="single" w:color="auto" w:sz="4" w:space="0"/>
            </w:tcBorders>
            <w:vAlign w:val="center"/>
          </w:tcPr>
          <w:p w14:paraId="77840D2E">
            <w:pPr>
              <w:jc w:val="center"/>
              <w:rPr>
                <w:rFonts w:hint="eastAsia" w:ascii="宋体" w:hAnsi="宋体"/>
                <w:sz w:val="24"/>
              </w:rPr>
            </w:pPr>
            <w:r>
              <w:rPr>
                <w:rFonts w:hint="eastAsia"/>
                <w:szCs w:val="21"/>
              </w:rPr>
              <w:t>×</w:t>
            </w:r>
          </w:p>
        </w:tc>
        <w:tc>
          <w:tcPr>
            <w:tcW w:w="800" w:type="dxa"/>
            <w:tcBorders>
              <w:top w:val="single" w:color="auto" w:sz="4" w:space="0"/>
              <w:left w:val="single" w:color="auto" w:sz="4" w:space="0"/>
              <w:bottom w:val="single" w:color="auto" w:sz="4" w:space="0"/>
              <w:right w:val="single" w:color="auto" w:sz="4" w:space="0"/>
            </w:tcBorders>
            <w:vAlign w:val="center"/>
          </w:tcPr>
          <w:p w14:paraId="1FFA90E1">
            <w:pPr>
              <w:jc w:val="center"/>
              <w:rPr>
                <w:rFonts w:hint="eastAsia" w:ascii="宋体" w:hAnsi="宋体"/>
                <w:sz w:val="24"/>
              </w:rPr>
            </w:pPr>
            <w:r>
              <w:rPr>
                <w:rFonts w:hint="eastAsia"/>
                <w:szCs w:val="21"/>
              </w:rPr>
              <w:t>×</w:t>
            </w:r>
          </w:p>
        </w:tc>
        <w:tc>
          <w:tcPr>
            <w:tcW w:w="800" w:type="dxa"/>
            <w:tcBorders>
              <w:top w:val="single" w:color="auto" w:sz="4" w:space="0"/>
              <w:left w:val="single" w:color="auto" w:sz="4" w:space="0"/>
              <w:bottom w:val="single" w:color="auto" w:sz="4" w:space="0"/>
              <w:right w:val="single" w:color="auto" w:sz="4" w:space="0"/>
            </w:tcBorders>
            <w:vAlign w:val="center"/>
          </w:tcPr>
          <w:p w14:paraId="6A94C241">
            <w:pPr>
              <w:jc w:val="center"/>
              <w:rPr>
                <w:rFonts w:hint="eastAsia" w:ascii="宋体" w:hAnsi="宋体"/>
                <w:sz w:val="24"/>
              </w:rPr>
            </w:pPr>
            <w:r>
              <w:rPr>
                <w:rFonts w:hint="eastAsia"/>
                <w:szCs w:val="21"/>
              </w:rPr>
              <w:t>×</w:t>
            </w:r>
          </w:p>
        </w:tc>
      </w:tr>
    </w:tbl>
    <w:p w14:paraId="11B707C8">
      <w:pPr>
        <w:pStyle w:val="2"/>
        <w:tabs>
          <w:tab w:val="left" w:pos="840"/>
        </w:tabs>
        <w:spacing w:before="0" w:beforeAutospacing="0" w:after="0" w:afterAutospacing="0"/>
        <w:rPr>
          <w:rFonts w:hint="eastAsia"/>
          <w:b/>
          <w:sz w:val="21"/>
          <w:szCs w:val="21"/>
        </w:rPr>
      </w:pPr>
      <w:r>
        <w:rPr>
          <w:rFonts w:hint="eastAsia"/>
          <w:b/>
          <w:sz w:val="21"/>
          <w:szCs w:val="21"/>
        </w:rPr>
        <w:t>三、名词解释</w:t>
      </w:r>
    </w:p>
    <w:p w14:paraId="35B24EBC">
      <w:pPr>
        <w:pStyle w:val="2"/>
        <w:tabs>
          <w:tab w:val="left" w:pos="840"/>
        </w:tabs>
        <w:spacing w:before="0" w:beforeAutospacing="0" w:after="0" w:afterAutospacing="0"/>
        <w:rPr>
          <w:rFonts w:hint="eastAsia"/>
          <w:sz w:val="21"/>
          <w:szCs w:val="21"/>
        </w:rPr>
      </w:pPr>
      <w:r>
        <w:rPr>
          <w:rFonts w:hint="eastAsia"/>
          <w:sz w:val="21"/>
          <w:szCs w:val="21"/>
        </w:rPr>
        <w:t>1.财务预算：一系列专门反映企业未来一定期限内预计财务状况和经营成果，以及现金收支等价值指标的各种预算的总称。</w:t>
      </w:r>
    </w:p>
    <w:p w14:paraId="14835C4A">
      <w:pPr>
        <w:pStyle w:val="2"/>
        <w:tabs>
          <w:tab w:val="left" w:pos="840"/>
        </w:tabs>
        <w:spacing w:before="0" w:beforeAutospacing="0" w:after="0" w:afterAutospacing="0"/>
        <w:rPr>
          <w:rFonts w:hint="eastAsia"/>
          <w:sz w:val="21"/>
          <w:szCs w:val="21"/>
        </w:rPr>
      </w:pPr>
      <w:r>
        <w:rPr>
          <w:rFonts w:hint="eastAsia"/>
          <w:sz w:val="21"/>
          <w:szCs w:val="21"/>
        </w:rPr>
        <w:t>2.可转换债券：指由公司发行并规定债券持有人在一定期限内按约定的条件可将其转换为发行公司股票的债券。</w:t>
      </w:r>
    </w:p>
    <w:p w14:paraId="0E783C22">
      <w:pPr>
        <w:pStyle w:val="2"/>
        <w:tabs>
          <w:tab w:val="left" w:pos="840"/>
        </w:tabs>
        <w:spacing w:before="0" w:beforeAutospacing="0" w:after="0" w:afterAutospacing="0"/>
        <w:rPr>
          <w:rFonts w:hint="eastAsia"/>
          <w:sz w:val="21"/>
          <w:szCs w:val="21"/>
        </w:rPr>
      </w:pPr>
      <w:r>
        <w:rPr>
          <w:rFonts w:hint="eastAsia"/>
          <w:sz w:val="21"/>
          <w:szCs w:val="21"/>
        </w:rPr>
        <w:t>3.年金：</w:t>
      </w:r>
      <w:r>
        <w:rPr>
          <w:rFonts w:hint="eastAsia"/>
          <w:bCs/>
          <w:sz w:val="21"/>
          <w:szCs w:val="21"/>
        </w:rPr>
        <w:t>在一定时期内，每期收到或者付出的等额款项</w:t>
      </w:r>
      <w:r>
        <w:rPr>
          <w:rFonts w:hint="eastAsia"/>
          <w:sz w:val="21"/>
          <w:szCs w:val="21"/>
        </w:rPr>
        <w:t>。</w:t>
      </w:r>
    </w:p>
    <w:p w14:paraId="35A78F23">
      <w:pPr>
        <w:rPr>
          <w:szCs w:val="21"/>
        </w:rPr>
      </w:pPr>
    </w:p>
    <w:p w14:paraId="782B00B0">
      <w:pPr>
        <w:widowControl/>
        <w:tabs>
          <w:tab w:val="left" w:pos="840"/>
        </w:tabs>
        <w:jc w:val="left"/>
        <w:rPr>
          <w:rFonts w:hint="eastAsia" w:ascii="宋体" w:hAnsi="宋体"/>
          <w:kern w:val="0"/>
          <w:szCs w:val="21"/>
        </w:rPr>
      </w:pPr>
      <w:r>
        <w:rPr>
          <w:rFonts w:hint="eastAsia" w:ascii="宋体" w:hAnsi="宋体"/>
          <w:kern w:val="0"/>
          <w:szCs w:val="21"/>
          <w:lang w:val="en-US" w:eastAsia="zh-CN"/>
        </w:rPr>
        <w:t>4</w:t>
      </w:r>
      <w:r>
        <w:rPr>
          <w:rFonts w:hint="eastAsia" w:ascii="宋体" w:hAnsi="宋体"/>
          <w:kern w:val="0"/>
          <w:szCs w:val="21"/>
        </w:rPr>
        <w:t>.财务分析：指以企业财务报表和其他资料为依据，采用一系列专门的方法，对企业的财务状况、经营成果进行分析、研究与评价的一项业务手段。</w:t>
      </w:r>
    </w:p>
    <w:p w14:paraId="24C64B03">
      <w:pPr>
        <w:widowControl/>
        <w:tabs>
          <w:tab w:val="left" w:pos="840"/>
        </w:tabs>
        <w:jc w:val="left"/>
        <w:rPr>
          <w:rFonts w:hint="eastAsia" w:ascii="宋体" w:hAnsi="宋体"/>
          <w:kern w:val="0"/>
          <w:szCs w:val="21"/>
        </w:rPr>
      </w:pPr>
      <w:r>
        <w:rPr>
          <w:rFonts w:hint="eastAsia" w:ascii="宋体" w:hAnsi="宋体"/>
          <w:kern w:val="0"/>
          <w:szCs w:val="21"/>
          <w:lang w:val="en-US" w:eastAsia="zh-CN"/>
        </w:rPr>
        <w:t>5</w:t>
      </w:r>
      <w:r>
        <w:rPr>
          <w:rFonts w:hint="eastAsia" w:ascii="宋体" w:hAnsi="宋体"/>
          <w:kern w:val="0"/>
          <w:szCs w:val="21"/>
        </w:rPr>
        <w:t>.折旧：一般指固定资产折旧，指其原值与残值之差在其使用年限内分摊。</w:t>
      </w:r>
    </w:p>
    <w:p w14:paraId="66387B4B">
      <w:pPr>
        <w:widowControl/>
        <w:tabs>
          <w:tab w:val="left" w:pos="840"/>
        </w:tabs>
        <w:jc w:val="left"/>
        <w:rPr>
          <w:rFonts w:hint="eastAsia" w:ascii="宋体" w:hAnsi="宋体"/>
          <w:kern w:val="0"/>
          <w:szCs w:val="21"/>
        </w:rPr>
      </w:pPr>
      <w:r>
        <w:rPr>
          <w:rFonts w:hint="eastAsia" w:ascii="宋体" w:hAnsi="宋体"/>
          <w:kern w:val="0"/>
          <w:szCs w:val="21"/>
          <w:lang w:val="en-US" w:eastAsia="zh-CN"/>
        </w:rPr>
        <w:t>6</w:t>
      </w:r>
      <w:r>
        <w:rPr>
          <w:rFonts w:hint="eastAsia" w:ascii="宋体" w:hAnsi="宋体"/>
          <w:kern w:val="0"/>
          <w:szCs w:val="21"/>
        </w:rPr>
        <w:t>.投资回收期：收回初始投资所需要的时间，一般以年为单位。</w:t>
      </w:r>
    </w:p>
    <w:p w14:paraId="1FDED7D8">
      <w:pPr>
        <w:rPr>
          <w:szCs w:val="21"/>
        </w:rPr>
      </w:pPr>
      <w:r>
        <w:rPr>
          <w:rFonts w:hint="eastAsia"/>
          <w:szCs w:val="21"/>
          <w:lang w:val="en-US" w:eastAsia="zh-CN"/>
        </w:rPr>
        <w:t>7</w:t>
      </w:r>
      <w:r>
        <w:rPr>
          <w:szCs w:val="21"/>
        </w:rPr>
        <w:t>.</w:t>
      </w:r>
      <w:r>
        <w:rPr>
          <w:rFonts w:hint="eastAsia"/>
          <w:szCs w:val="21"/>
        </w:rPr>
        <w:t>股利政策：</w:t>
      </w:r>
      <w:r>
        <w:rPr>
          <w:rFonts w:hint="eastAsia" w:ascii="宋体" w:hAnsi="宋体" w:cs="宋体"/>
          <w:bCs/>
          <w:szCs w:val="21"/>
        </w:rPr>
        <w:t>关于股份公司是否发放股利、发放多少股利、何时发放股利以及以何种形式发放股利等方面的方针和策略。</w:t>
      </w:r>
    </w:p>
    <w:p w14:paraId="430B4D04">
      <w:pPr>
        <w:rPr>
          <w:szCs w:val="21"/>
        </w:rPr>
      </w:pPr>
    </w:p>
    <w:p w14:paraId="23965A3D">
      <w:pPr>
        <w:pStyle w:val="2"/>
        <w:tabs>
          <w:tab w:val="left" w:pos="840"/>
        </w:tabs>
        <w:spacing w:before="0" w:beforeAutospacing="0" w:after="0" w:afterAutospacing="0"/>
        <w:rPr>
          <w:rFonts w:hint="eastAsia"/>
          <w:b/>
          <w:sz w:val="21"/>
          <w:szCs w:val="21"/>
        </w:rPr>
      </w:pPr>
      <w:r>
        <w:rPr>
          <w:rFonts w:hint="eastAsia"/>
          <w:b/>
          <w:sz w:val="21"/>
          <w:szCs w:val="21"/>
        </w:rPr>
        <w:t>四、问答题</w:t>
      </w:r>
    </w:p>
    <w:p w14:paraId="5A108A16">
      <w:pPr>
        <w:autoSpaceDE w:val="0"/>
        <w:autoSpaceDN w:val="0"/>
        <w:adjustRightInd w:val="0"/>
        <w:snapToGrid w:val="0"/>
        <w:rPr>
          <w:color w:val="FF0000"/>
          <w:szCs w:val="21"/>
        </w:rPr>
      </w:pPr>
      <w:r>
        <w:rPr>
          <w:rFonts w:hint="eastAsia" w:ascii="宋体" w:hAnsi="宋体"/>
          <w:szCs w:val="21"/>
        </w:rPr>
        <w:t>1.</w:t>
      </w:r>
      <w:r>
        <w:rPr>
          <w:rFonts w:hint="eastAsia"/>
          <w:szCs w:val="21"/>
        </w:rPr>
        <w:t xml:space="preserve"> 答：</w:t>
      </w:r>
      <w:r>
        <w:t xml:space="preserve"> </w:t>
      </w:r>
      <w:r>
        <w:rPr>
          <w:rFonts w:hint="eastAsia"/>
          <w:szCs w:val="21"/>
        </w:rPr>
        <w:t>优点：（1）租赁能迅速获得所需的资产；（2）租赁筹资限制条件较少；（3）租金的分期支付，可适当减低企业不能偿付的风险；（4）租金的支付可为承租企业带来节税利益；（5）租赁能减少设备陈旧过时的风险。</w:t>
      </w:r>
    </w:p>
    <w:p w14:paraId="37B17033">
      <w:pPr>
        <w:autoSpaceDE w:val="0"/>
        <w:autoSpaceDN w:val="0"/>
        <w:adjustRightInd w:val="0"/>
        <w:snapToGrid w:val="0"/>
        <w:rPr>
          <w:color w:val="FF0000"/>
          <w:szCs w:val="21"/>
        </w:rPr>
      </w:pPr>
      <w:r>
        <w:rPr>
          <w:rFonts w:hint="eastAsia" w:ascii="宋体" w:hAnsi="宋体"/>
          <w:szCs w:val="21"/>
          <w:lang w:val="en-US" w:eastAsia="zh-CN"/>
        </w:rPr>
        <w:t>2</w:t>
      </w:r>
      <w:r>
        <w:rPr>
          <w:rFonts w:hint="eastAsia" w:ascii="宋体" w:hAnsi="宋体"/>
          <w:szCs w:val="21"/>
        </w:rPr>
        <w:t>.</w:t>
      </w:r>
      <w:r>
        <w:rPr>
          <w:rFonts w:cs="宋体"/>
          <w:kern w:val="0"/>
          <w:szCs w:val="21"/>
        </w:rPr>
        <w:t xml:space="preserve"> </w:t>
      </w:r>
      <w:r>
        <w:rPr>
          <w:rFonts w:hint="eastAsia" w:cs="宋体"/>
          <w:kern w:val="0"/>
          <w:szCs w:val="21"/>
        </w:rPr>
        <w:t>答：金融投资的目的有</w:t>
      </w:r>
      <w:r>
        <w:rPr>
          <w:rFonts w:hint="eastAsia"/>
        </w:rPr>
        <w:t>：（</w:t>
      </w:r>
      <w:r>
        <w:t>1</w:t>
      </w:r>
      <w:r>
        <w:rPr>
          <w:rFonts w:hint="eastAsia"/>
        </w:rPr>
        <w:t>）</w:t>
      </w:r>
      <w:r>
        <w:rPr>
          <w:rFonts w:hint="eastAsia" w:cs="宋体"/>
          <w:kern w:val="0"/>
          <w:szCs w:val="21"/>
        </w:rPr>
        <w:t>存放暂时闲置的资金；（</w:t>
      </w:r>
      <w:r>
        <w:rPr>
          <w:rFonts w:cs="宋体"/>
          <w:kern w:val="0"/>
          <w:szCs w:val="21"/>
        </w:rPr>
        <w:t>2</w:t>
      </w:r>
      <w:r>
        <w:rPr>
          <w:rFonts w:hint="eastAsia" w:cs="宋体"/>
          <w:kern w:val="0"/>
          <w:szCs w:val="21"/>
        </w:rPr>
        <w:t>）投机获取高额收益；（</w:t>
      </w:r>
      <w:r>
        <w:rPr>
          <w:rFonts w:cs="宋体"/>
          <w:kern w:val="0"/>
          <w:szCs w:val="21"/>
        </w:rPr>
        <w:t>3</w:t>
      </w:r>
      <w:r>
        <w:rPr>
          <w:rFonts w:hint="eastAsia" w:cs="宋体"/>
          <w:kern w:val="0"/>
          <w:szCs w:val="21"/>
        </w:rPr>
        <w:t>）获得长期稳定的收益；（</w:t>
      </w:r>
      <w:r>
        <w:rPr>
          <w:rFonts w:cs="宋体"/>
          <w:kern w:val="0"/>
          <w:szCs w:val="21"/>
        </w:rPr>
        <w:t>4</w:t>
      </w:r>
      <w:r>
        <w:rPr>
          <w:rFonts w:hint="eastAsia" w:cs="宋体"/>
          <w:kern w:val="0"/>
          <w:szCs w:val="21"/>
        </w:rPr>
        <w:t>）与企业长期资金计划相配合；（</w:t>
      </w:r>
      <w:r>
        <w:rPr>
          <w:rFonts w:cs="宋体"/>
          <w:kern w:val="0"/>
          <w:szCs w:val="21"/>
        </w:rPr>
        <w:t>5</w:t>
      </w:r>
      <w:r>
        <w:rPr>
          <w:rFonts w:hint="eastAsia" w:cs="宋体"/>
          <w:kern w:val="0"/>
          <w:szCs w:val="21"/>
        </w:rPr>
        <w:t>）获得对被投资企业的控制权；（</w:t>
      </w:r>
      <w:r>
        <w:rPr>
          <w:rFonts w:cs="宋体"/>
          <w:kern w:val="0"/>
          <w:szCs w:val="21"/>
        </w:rPr>
        <w:t>6</w:t>
      </w:r>
      <w:r>
        <w:rPr>
          <w:rFonts w:hint="eastAsia" w:cs="宋体"/>
          <w:kern w:val="0"/>
          <w:szCs w:val="21"/>
        </w:rPr>
        <w:t>）利用金融衍生工具规避经营风险。</w:t>
      </w:r>
    </w:p>
    <w:p w14:paraId="2D2A2500">
      <w:pPr>
        <w:spacing w:line="400" w:lineRule="exact"/>
        <w:rPr>
          <w:szCs w:val="21"/>
        </w:rPr>
      </w:pPr>
      <w:r>
        <w:rPr>
          <w:rFonts w:hint="eastAsia" w:ascii="宋体" w:hAnsi="宋体" w:cs="宋体"/>
          <w:bCs/>
          <w:szCs w:val="21"/>
          <w:lang w:val="en-US" w:eastAsia="zh-CN"/>
        </w:rPr>
        <w:t>3</w:t>
      </w:r>
      <w:r>
        <w:rPr>
          <w:rFonts w:hint="eastAsia" w:ascii="宋体" w:hAnsi="宋体" w:cs="宋体"/>
          <w:bCs/>
          <w:szCs w:val="21"/>
        </w:rPr>
        <w:t>.列出负债的优点</w:t>
      </w:r>
      <w:r>
        <w:rPr>
          <w:rFonts w:hint="eastAsia"/>
          <w:color w:val="000000"/>
          <w:szCs w:val="21"/>
        </w:rPr>
        <w:t>负债的缺点</w:t>
      </w:r>
      <w:r>
        <w:rPr>
          <w:rFonts w:hint="eastAsia"/>
          <w:szCs w:val="21"/>
        </w:rPr>
        <w:t>、应该权衡负债的优点和缺点适度负债。</w:t>
      </w:r>
    </w:p>
    <w:p w14:paraId="44DA4DFC">
      <w:pPr>
        <w:spacing w:line="400" w:lineRule="exact"/>
        <w:rPr>
          <w:i/>
          <w:szCs w:val="21"/>
        </w:rPr>
      </w:pPr>
      <w:r>
        <w:rPr>
          <w:rFonts w:hint="eastAsia"/>
          <w:i/>
          <w:szCs w:val="21"/>
        </w:rPr>
        <w:t>言之有理，酌情给分。</w:t>
      </w:r>
    </w:p>
    <w:p w14:paraId="05EEA659">
      <w:pPr>
        <w:rPr>
          <w:i/>
          <w:szCs w:val="21"/>
        </w:rPr>
      </w:pPr>
    </w:p>
    <w:p w14:paraId="2F706A17">
      <w:pPr>
        <w:spacing w:line="400" w:lineRule="exact"/>
        <w:rPr>
          <w:rFonts w:hint="eastAsia" w:ascii="宋体" w:hAnsi="宋体"/>
          <w:b/>
          <w:szCs w:val="21"/>
        </w:rPr>
      </w:pPr>
      <w:r>
        <w:rPr>
          <w:rFonts w:hint="eastAsia"/>
          <w:b/>
          <w:szCs w:val="21"/>
        </w:rPr>
        <w:t>五、</w:t>
      </w:r>
      <w:r>
        <w:rPr>
          <w:rFonts w:hint="eastAsia" w:ascii="宋体" w:hAnsi="宋体"/>
          <w:b/>
          <w:szCs w:val="21"/>
        </w:rPr>
        <w:t>计算与案例分析题</w:t>
      </w:r>
    </w:p>
    <w:p w14:paraId="06A2D252">
      <w:pPr>
        <w:rPr>
          <w:rFonts w:hint="eastAsia" w:ascii="宋体" w:hAnsi="宋体"/>
          <w:szCs w:val="21"/>
        </w:rPr>
      </w:pPr>
      <w:r>
        <w:rPr>
          <w:rFonts w:hint="eastAsia"/>
          <w:szCs w:val="21"/>
        </w:rPr>
        <w:t>1.</w:t>
      </w:r>
      <w:r>
        <w:rPr>
          <w:rFonts w:hint="eastAsia" w:ascii="宋体" w:hAnsi="宋体"/>
          <w:szCs w:val="21"/>
        </w:rPr>
        <w:t xml:space="preserve"> 解：计算甲材料经济订货批量和全年订货次数。（10分）</w:t>
      </w:r>
    </w:p>
    <w:p w14:paraId="2F6B3EB9">
      <w:pPr>
        <w:rPr>
          <w:rFonts w:hint="eastAsia" w:ascii="宋体" w:hAnsi="宋体"/>
          <w:szCs w:val="21"/>
        </w:rPr>
      </w:pPr>
      <w:r>
        <w:rPr>
          <w:rFonts w:hint="eastAsia" w:ascii="宋体" w:hAnsi="宋体"/>
          <w:szCs w:val="21"/>
        </w:rPr>
        <w:t xml:space="preserve">             A存货经济订货批量=</w:t>
      </w:r>
      <w:r>
        <w:rPr>
          <w:color w:val="FF0000"/>
          <w:position w:val="-8"/>
          <w:szCs w:val="21"/>
        </w:rPr>
        <w:object>
          <v:shape id="_x0000_i1025" o:spt="75" type="#_x0000_t75" style="height:18pt;width:105pt;" o:ole="t" filled="f" o:preferrelative="t" stroked="f" coordsize="21600,21600">
            <v:path/>
            <v:fill on="f" focussize="0,0"/>
            <v:stroke on="f" joinstyle="miter"/>
            <v:imagedata r:id="rId6" o:title=""/>
            <o:lock v:ext="edit" aspectratio="t"/>
            <w10:wrap type="none"/>
            <w10:anchorlock/>
          </v:shape>
          <o:OLEObject Type="Embed" ProgID="Equation.3" ShapeID="_x0000_i1025" DrawAspect="Content" ObjectID="_1468075725" r:id="rId5">
            <o:LockedField>false</o:LockedField>
          </o:OLEObject>
        </w:object>
      </w:r>
      <w:r>
        <w:rPr>
          <w:rFonts w:hint="eastAsia" w:ascii="宋体" w:hAnsi="宋体"/>
          <w:szCs w:val="21"/>
        </w:rPr>
        <w:t xml:space="preserve"> =360吨   </w:t>
      </w:r>
    </w:p>
    <w:p w14:paraId="40521C1E">
      <w:pPr>
        <w:rPr>
          <w:rFonts w:hint="eastAsia" w:ascii="宋体" w:hAnsi="宋体"/>
          <w:szCs w:val="21"/>
        </w:rPr>
      </w:pPr>
      <w:r>
        <w:rPr>
          <w:rFonts w:hint="eastAsia" w:ascii="宋体" w:hAnsi="宋体"/>
          <w:szCs w:val="21"/>
        </w:rPr>
        <w:t xml:space="preserve">全年订货次数=3600÷360=10次       </w:t>
      </w:r>
    </w:p>
    <w:p w14:paraId="290D8DBB">
      <w:pPr>
        <w:rPr>
          <w:color w:val="FF0000"/>
          <w:szCs w:val="21"/>
        </w:rPr>
      </w:pPr>
      <w:r>
        <w:rPr>
          <w:rFonts w:hint="eastAsia"/>
          <w:szCs w:val="21"/>
        </w:rPr>
        <w:t>2.（1）A股票必要报酬率=</w:t>
      </w:r>
      <w:r>
        <w:rPr>
          <w:rFonts w:hint="eastAsia" w:ascii="宋体" w:hAnsi="宋体"/>
          <w:szCs w:val="21"/>
        </w:rPr>
        <w:t xml:space="preserve"> 8</w:t>
      </w:r>
      <w:r>
        <w:rPr>
          <w:rFonts w:hint="eastAsia"/>
          <w:szCs w:val="21"/>
        </w:rPr>
        <w:t>%</w:t>
      </w:r>
      <w:r>
        <w:rPr>
          <w:rFonts w:hint="eastAsia" w:ascii="宋体" w:hAnsi="宋体"/>
          <w:szCs w:val="21"/>
        </w:rPr>
        <w:t>+2×（12</w:t>
      </w:r>
      <w:r>
        <w:rPr>
          <w:rFonts w:hint="eastAsia"/>
          <w:szCs w:val="21"/>
        </w:rPr>
        <w:t>%</w:t>
      </w:r>
      <w:r>
        <w:rPr>
          <w:rFonts w:hint="eastAsia" w:ascii="宋体" w:hAnsi="宋体"/>
          <w:szCs w:val="21"/>
        </w:rPr>
        <w:t>-8</w:t>
      </w:r>
      <w:r>
        <w:rPr>
          <w:rFonts w:hint="eastAsia"/>
          <w:szCs w:val="21"/>
        </w:rPr>
        <w:t>%</w:t>
      </w:r>
      <w:r>
        <w:rPr>
          <w:rFonts w:hint="eastAsia" w:ascii="宋体" w:hAnsi="宋体"/>
          <w:szCs w:val="21"/>
        </w:rPr>
        <w:t>）=16</w:t>
      </w:r>
      <w:r>
        <w:rPr>
          <w:rFonts w:hint="eastAsia"/>
          <w:szCs w:val="21"/>
        </w:rPr>
        <w:t>%</w:t>
      </w:r>
    </w:p>
    <w:p w14:paraId="080308D1">
      <w:pPr>
        <w:rPr>
          <w:szCs w:val="21"/>
        </w:rPr>
      </w:pPr>
      <w:r>
        <w:rPr>
          <w:rFonts w:hint="eastAsia"/>
          <w:szCs w:val="21"/>
        </w:rPr>
        <w:t>B股票必要报酬率=</w:t>
      </w:r>
      <w:r>
        <w:rPr>
          <w:rFonts w:hint="eastAsia" w:ascii="宋体" w:hAnsi="宋体"/>
          <w:szCs w:val="21"/>
        </w:rPr>
        <w:t xml:space="preserve"> 8</w:t>
      </w:r>
      <w:r>
        <w:rPr>
          <w:rFonts w:hint="eastAsia"/>
          <w:szCs w:val="21"/>
        </w:rPr>
        <w:t>%</w:t>
      </w:r>
      <w:r>
        <w:rPr>
          <w:rFonts w:hint="eastAsia" w:ascii="宋体" w:hAnsi="宋体"/>
          <w:szCs w:val="21"/>
        </w:rPr>
        <w:t>+1.5×（12</w:t>
      </w:r>
      <w:r>
        <w:rPr>
          <w:rFonts w:hint="eastAsia"/>
          <w:szCs w:val="21"/>
        </w:rPr>
        <w:t>%</w:t>
      </w:r>
      <w:r>
        <w:rPr>
          <w:rFonts w:hint="eastAsia" w:ascii="宋体" w:hAnsi="宋体"/>
          <w:szCs w:val="21"/>
        </w:rPr>
        <w:t>-8</w:t>
      </w:r>
      <w:r>
        <w:rPr>
          <w:rFonts w:hint="eastAsia"/>
          <w:szCs w:val="21"/>
        </w:rPr>
        <w:t>%</w:t>
      </w:r>
      <w:r>
        <w:rPr>
          <w:rFonts w:hint="eastAsia" w:ascii="宋体" w:hAnsi="宋体"/>
          <w:szCs w:val="21"/>
        </w:rPr>
        <w:t>）=14</w:t>
      </w:r>
      <w:r>
        <w:rPr>
          <w:rFonts w:hint="eastAsia"/>
          <w:szCs w:val="21"/>
        </w:rPr>
        <w:t>%</w:t>
      </w:r>
    </w:p>
    <w:p w14:paraId="7775F125">
      <w:pPr>
        <w:rPr>
          <w:color w:val="FF0000"/>
          <w:szCs w:val="21"/>
        </w:rPr>
      </w:pPr>
      <w:r>
        <w:rPr>
          <w:rFonts w:hint="eastAsia"/>
          <w:szCs w:val="21"/>
        </w:rPr>
        <w:t>A股票内在价值4.16元</w:t>
      </w:r>
    </w:p>
    <w:p w14:paraId="02B113A1">
      <w:pPr>
        <w:rPr>
          <w:szCs w:val="21"/>
        </w:rPr>
      </w:pPr>
      <w:r>
        <w:rPr>
          <w:rFonts w:hint="eastAsia"/>
          <w:szCs w:val="21"/>
        </w:rPr>
        <w:t xml:space="preserve">B股票内在价值2.08元  </w:t>
      </w:r>
    </w:p>
    <w:p w14:paraId="5E4AAC47">
      <w:pPr>
        <w:rPr>
          <w:color w:val="FF0000"/>
          <w:szCs w:val="21"/>
        </w:rPr>
      </w:pPr>
      <w:r>
        <w:rPr>
          <w:rFonts w:hint="eastAsia"/>
          <w:szCs w:val="21"/>
        </w:rPr>
        <w:t xml:space="preserve">  （2）A股票市场价格4元&lt;4.16</w:t>
      </w:r>
    </w:p>
    <w:p w14:paraId="71C000C0">
      <w:pPr>
        <w:rPr>
          <w:szCs w:val="21"/>
        </w:rPr>
      </w:pPr>
      <w:r>
        <w:rPr>
          <w:rFonts w:hint="eastAsia"/>
          <w:szCs w:val="21"/>
        </w:rPr>
        <w:t xml:space="preserve">B股票市场价格2.4元 &gt;2.08 </w:t>
      </w:r>
    </w:p>
    <w:p w14:paraId="6DE9B83D">
      <w:pPr>
        <w:rPr>
          <w:color w:val="FF0000"/>
          <w:szCs w:val="21"/>
        </w:rPr>
      </w:pPr>
      <w:r>
        <w:rPr>
          <w:rFonts w:hint="eastAsia"/>
          <w:szCs w:val="21"/>
        </w:rPr>
        <w:t>A股票值得投资，B股票不值得投资</w:t>
      </w:r>
    </w:p>
    <w:p w14:paraId="3A4DEAFB">
      <w:pPr>
        <w:rPr>
          <w:color w:val="FF0000"/>
          <w:szCs w:val="21"/>
        </w:rPr>
      </w:pPr>
      <w:r>
        <w:rPr>
          <w:rFonts w:hint="eastAsia"/>
          <w:szCs w:val="21"/>
        </w:rPr>
        <w:t>（3）投资组合的</w:t>
      </w:r>
      <w:r>
        <w:rPr>
          <w:rFonts w:ascii="Arial" w:hAnsi="Arial" w:cs="Arial"/>
          <w:bCs/>
          <w:szCs w:val="21"/>
        </w:rPr>
        <w:t>β</w:t>
      </w:r>
      <w:r>
        <w:rPr>
          <w:rFonts w:hint="eastAsia" w:ascii="Arial" w:hAnsi="Arial" w:cs="Arial"/>
          <w:bCs/>
          <w:szCs w:val="21"/>
        </w:rPr>
        <w:t>系数为1.75</w:t>
      </w:r>
      <w:r>
        <w:rPr>
          <w:rFonts w:hint="eastAsia"/>
          <w:color w:val="FF0000"/>
          <w:szCs w:val="21"/>
        </w:rPr>
        <w:t xml:space="preserve"> </w:t>
      </w:r>
      <w:r>
        <w:rPr>
          <w:rFonts w:hint="eastAsia"/>
          <w:szCs w:val="21"/>
        </w:rPr>
        <w:t>预期收益率15%</w:t>
      </w:r>
    </w:p>
    <w:p w14:paraId="5A3C6B89">
      <w:pPr>
        <w:rPr>
          <w:color w:val="FF0000"/>
          <w:szCs w:val="21"/>
        </w:rPr>
      </w:pPr>
    </w:p>
    <w:p w14:paraId="5AF64421">
      <w:pPr>
        <w:rPr>
          <w:rFonts w:hint="eastAsia" w:ascii="ˎ̥" w:hAnsi="ˎ̥" w:cs="宋体"/>
          <w:color w:val="000000"/>
          <w:kern w:val="0"/>
          <w:szCs w:val="21"/>
        </w:rPr>
      </w:pPr>
      <w:r>
        <w:rPr>
          <w:szCs w:val="21"/>
        </w:rPr>
        <w:t>3</w:t>
      </w:r>
      <w:r>
        <w:rPr>
          <w:rFonts w:hint="eastAsia" w:ascii="宋体" w:hAnsi="宋体"/>
          <w:szCs w:val="21"/>
        </w:rPr>
        <w:t xml:space="preserve"> </w:t>
      </w:r>
      <w:r>
        <w:rPr>
          <w:rFonts w:hint="eastAsia" w:ascii="ˎ̥" w:hAnsi="ˎ̥" w:cs="宋体"/>
          <w:color w:val="000000"/>
          <w:kern w:val="0"/>
          <w:szCs w:val="21"/>
        </w:rPr>
        <w:t>最佳经济批量</w:t>
      </w:r>
      <w:r>
        <w:rPr>
          <w:rFonts w:ascii="ˎ̥" w:hAnsi="ˎ̥" w:cs="宋体"/>
          <w:color w:val="000000"/>
          <w:kern w:val="0"/>
          <w:szCs w:val="21"/>
        </w:rPr>
        <w:t>Q=</w:t>
      </w:r>
      <w:r>
        <w:rPr>
          <w:rFonts w:ascii="ˎ̥" w:hAnsi="ˎ̥" w:cs="宋体"/>
          <w:color w:val="000000"/>
          <w:kern w:val="0"/>
          <w:szCs w:val="21"/>
        </w:rPr>
        <w:object>
          <v:shape id="_x0000_i1026" o:spt="75" type="#_x0000_t75" style="height:17.4pt;width:9pt;" o:ole="t" filled="f" o:preferrelative="t" stroked="f" coordsize="21600,21600">
            <v:path/>
            <v:fill on="f" focussize="0,0"/>
            <v:stroke on="f" joinstyle="miter"/>
            <v:imagedata r:id="rId8" o:title=""/>
            <o:lock v:ext="edit" aspectratio="t"/>
            <w10:wrap type="none"/>
            <w10:anchorlock/>
          </v:shape>
          <o:OLEObject Type="Embed" ProgID="Equation.3" ShapeID="_x0000_i1026" DrawAspect="Content" ObjectID="_1468075726" r:id="rId7">
            <o:LockedField>false</o:LockedField>
          </o:OLEObject>
        </w:object>
      </w:r>
      <w:r>
        <w:rPr>
          <w:rFonts w:ascii="ˎ̥" w:hAnsi="ˎ̥" w:cs="宋体"/>
          <w:color w:val="000000"/>
          <w:kern w:val="0"/>
          <w:szCs w:val="21"/>
        </w:rPr>
        <w:object>
          <v:shape id="_x0000_i1027" o:spt="75" type="#_x0000_t75" style="height:24.6pt;width:98.4pt;" o:ole="t" filled="f" o:preferrelative="t" stroked="f" coordsize="21600,21600">
            <v:path/>
            <v:fill on="f" focussize="0,0"/>
            <v:stroke on="f" joinstyle="miter"/>
            <v:imagedata r:id="rId10" o:title=""/>
            <o:lock v:ext="edit" aspectratio="t"/>
            <w10:wrap type="none"/>
            <w10:anchorlock/>
          </v:shape>
          <o:OLEObject Type="Embed" ProgID="Equation.3" ShapeID="_x0000_i1027" DrawAspect="Content" ObjectID="_1468075727" r:id="rId9">
            <o:LockedField>false</o:LockedField>
          </o:OLEObject>
        </w:object>
      </w:r>
      <w:r>
        <w:rPr>
          <w:rFonts w:hint="eastAsia" w:ascii="ˎ̥" w:hAnsi="ˎ̥" w:cs="宋体"/>
          <w:color w:val="000000"/>
          <w:kern w:val="0"/>
          <w:szCs w:val="21"/>
        </w:rPr>
        <w:t>（吨）</w:t>
      </w:r>
    </w:p>
    <w:p w14:paraId="34A08C44">
      <w:pPr>
        <w:rPr>
          <w:rFonts w:hint="eastAsia" w:ascii="ˎ̥" w:hAnsi="ˎ̥" w:cs="宋体"/>
          <w:color w:val="000000"/>
          <w:kern w:val="0"/>
          <w:szCs w:val="21"/>
        </w:rPr>
      </w:pPr>
      <w:r>
        <w:rPr>
          <w:rFonts w:hint="eastAsia" w:ascii="ˎ̥" w:hAnsi="ˎ̥" w:cs="宋体"/>
          <w:color w:val="000000"/>
          <w:kern w:val="0"/>
          <w:szCs w:val="21"/>
        </w:rPr>
        <w:t>最佳订货次数</w:t>
      </w:r>
      <w:r>
        <w:rPr>
          <w:rFonts w:ascii="ˎ̥" w:hAnsi="ˎ̥" w:cs="宋体"/>
          <w:color w:val="000000"/>
          <w:kern w:val="0"/>
          <w:szCs w:val="21"/>
        </w:rPr>
        <w:t>F=4500/300=15</w:t>
      </w:r>
      <w:r>
        <w:rPr>
          <w:rFonts w:hint="eastAsia" w:ascii="ˎ̥" w:hAnsi="ˎ̥" w:cs="宋体"/>
          <w:color w:val="000000"/>
          <w:kern w:val="0"/>
          <w:szCs w:val="21"/>
        </w:rPr>
        <w:t>次</w:t>
      </w:r>
    </w:p>
    <w:p w14:paraId="0E31E439">
      <w:pPr>
        <w:rPr>
          <w:rFonts w:hint="eastAsia" w:ascii="ˎ̥" w:hAnsi="ˎ̥" w:cs="宋体"/>
          <w:color w:val="000000"/>
          <w:kern w:val="0"/>
          <w:szCs w:val="21"/>
        </w:rPr>
      </w:pPr>
      <w:r>
        <w:rPr>
          <w:rFonts w:hint="eastAsia" w:ascii="ˎ̥" w:hAnsi="ˎ̥" w:cs="宋体"/>
          <w:color w:val="000000"/>
          <w:kern w:val="0"/>
          <w:szCs w:val="21"/>
        </w:rPr>
        <w:t>订货周期</w:t>
      </w:r>
      <w:r>
        <w:rPr>
          <w:rFonts w:ascii="ˎ̥" w:hAnsi="ˎ̥" w:cs="宋体"/>
          <w:color w:val="000000"/>
          <w:kern w:val="0"/>
          <w:szCs w:val="21"/>
        </w:rPr>
        <w:t>=360/15=24</w:t>
      </w:r>
      <w:r>
        <w:rPr>
          <w:rFonts w:hint="eastAsia" w:ascii="ˎ̥" w:hAnsi="ˎ̥" w:cs="宋体"/>
          <w:color w:val="000000"/>
          <w:kern w:val="0"/>
          <w:szCs w:val="21"/>
        </w:rPr>
        <w:t>（天）</w:t>
      </w:r>
    </w:p>
    <w:p w14:paraId="2B0D182E">
      <w:pPr>
        <w:rPr>
          <w:rFonts w:hint="eastAsia" w:ascii="ˎ̥" w:hAnsi="ˎ̥" w:cs="宋体"/>
          <w:color w:val="000000"/>
          <w:kern w:val="0"/>
          <w:szCs w:val="21"/>
        </w:rPr>
      </w:pPr>
      <w:r>
        <w:rPr>
          <w:rFonts w:hint="eastAsia" w:ascii="ˎ̥" w:hAnsi="ˎ̥" w:cs="宋体"/>
          <w:color w:val="000000"/>
          <w:kern w:val="0"/>
          <w:szCs w:val="21"/>
        </w:rPr>
        <w:t>存货变动总成本</w:t>
      </w:r>
      <w:r>
        <w:rPr>
          <w:rFonts w:ascii="ˎ̥" w:hAnsi="ˎ̥" w:cs="宋体"/>
          <w:color w:val="000000"/>
          <w:kern w:val="0"/>
          <w:szCs w:val="21"/>
        </w:rPr>
        <w:t>R=</w:t>
      </w:r>
      <w:r>
        <w:rPr>
          <w:rFonts w:ascii="ˎ̥" w:hAnsi="ˎ̥" w:cs="宋体"/>
          <w:color w:val="000000"/>
          <w:kern w:val="0"/>
          <w:szCs w:val="21"/>
        </w:rPr>
        <w:object>
          <v:shape id="_x0000_i1028" o:spt="75" type="#_x0000_t75" style="height:21.6pt;width:203.4pt;" o:ole="t" filled="f" o:preferrelative="t" stroked="f" coordsize="21600,21600">
            <v:path/>
            <v:fill on="f" focussize="0,0"/>
            <v:stroke on="f" joinstyle="miter"/>
            <v:imagedata r:id="rId12" o:title=""/>
            <o:lock v:ext="edit" aspectratio="t"/>
            <w10:wrap type="none"/>
            <w10:anchorlock/>
          </v:shape>
          <o:OLEObject Type="Embed" ProgID="Equation.3" ShapeID="_x0000_i1028" DrawAspect="Content" ObjectID="_1468075728" r:id="rId11">
            <o:LockedField>false</o:LockedField>
          </o:OLEObject>
        </w:object>
      </w:r>
      <w:r>
        <w:rPr>
          <w:rFonts w:hint="eastAsia" w:ascii="ˎ̥" w:hAnsi="ˎ̥" w:cs="宋体"/>
          <w:color w:val="000000"/>
          <w:kern w:val="0"/>
          <w:szCs w:val="21"/>
        </w:rPr>
        <w:t>，</w:t>
      </w:r>
    </w:p>
    <w:p w14:paraId="30655C67">
      <w:pPr>
        <w:snapToGrid w:val="0"/>
        <w:ind w:firstLine="420" w:firstLineChars="200"/>
        <w:rPr>
          <w:color w:val="000000"/>
          <w:szCs w:val="21"/>
        </w:rPr>
      </w:pPr>
      <w:r>
        <w:rPr>
          <w:rFonts w:hint="eastAsia" w:ascii="ˎ̥" w:hAnsi="ˎ̥" w:cs="宋体"/>
          <w:color w:val="000000"/>
          <w:kern w:val="0"/>
          <w:szCs w:val="21"/>
        </w:rPr>
        <w:t>经济批量平均占用额</w:t>
      </w:r>
      <w:r>
        <w:rPr>
          <w:rFonts w:ascii="ˎ̥" w:hAnsi="ˎ̥" w:cs="宋体"/>
          <w:color w:val="000000"/>
          <w:kern w:val="0"/>
          <w:szCs w:val="21"/>
        </w:rPr>
        <w:t>=300/2</w:t>
      </w:r>
      <w:r>
        <w:rPr>
          <w:rFonts w:hint="eastAsia" w:ascii="ˎ̥" w:hAnsi="ˎ̥" w:cs="宋体"/>
          <w:color w:val="000000"/>
          <w:kern w:val="0"/>
          <w:szCs w:val="21"/>
        </w:rPr>
        <w:t>×</w:t>
      </w:r>
      <w:r>
        <w:rPr>
          <w:rFonts w:ascii="ˎ̥" w:hAnsi="ˎ̥" w:cs="宋体"/>
          <w:color w:val="000000"/>
          <w:kern w:val="0"/>
          <w:szCs w:val="21"/>
        </w:rPr>
        <w:t>2000=300000</w:t>
      </w:r>
      <w:r>
        <w:rPr>
          <w:rFonts w:hint="eastAsia" w:ascii="ˎ̥" w:hAnsi="ˎ̥" w:cs="宋体"/>
          <w:color w:val="000000"/>
          <w:kern w:val="0"/>
          <w:szCs w:val="21"/>
        </w:rPr>
        <w:t>（元）</w:t>
      </w:r>
      <w:r>
        <w:rPr>
          <w:rFonts w:hint="eastAsia" w:ascii="宋体" w:hAnsi="宋体"/>
          <w:color w:val="000000"/>
          <w:szCs w:val="21"/>
        </w:rPr>
        <w:t xml:space="preserve">           </w:t>
      </w:r>
    </w:p>
    <w:p w14:paraId="3B969E08">
      <w:pPr>
        <w:rPr>
          <w:szCs w:val="21"/>
        </w:rPr>
      </w:pPr>
      <w:r>
        <w:rPr>
          <w:szCs w:val="21"/>
        </w:rPr>
        <w:t xml:space="preserve">4. </w:t>
      </w:r>
      <w:r>
        <w:rPr>
          <w:rFonts w:hint="eastAsia"/>
          <w:szCs w:val="21"/>
        </w:rPr>
        <w:t>（</w:t>
      </w:r>
      <w:r>
        <w:rPr>
          <w:szCs w:val="21"/>
        </w:rPr>
        <w:t>1</w:t>
      </w:r>
      <w:r>
        <w:rPr>
          <w:rFonts w:hint="eastAsia"/>
          <w:szCs w:val="21"/>
        </w:rPr>
        <w:t>）应提取的法定盈余公积为</w:t>
      </w:r>
      <w:r>
        <w:rPr>
          <w:szCs w:val="21"/>
        </w:rPr>
        <w:t>200</w:t>
      </w:r>
      <w:r>
        <w:rPr>
          <w:rFonts w:hint="eastAsia"/>
          <w:szCs w:val="21"/>
        </w:rPr>
        <w:t>万元</w:t>
      </w:r>
    </w:p>
    <w:p w14:paraId="1C395EBE">
      <w:pPr>
        <w:rPr>
          <w:color w:val="FF0000"/>
          <w:szCs w:val="21"/>
        </w:rPr>
      </w:pPr>
      <w:r>
        <w:rPr>
          <w:szCs w:val="21"/>
        </w:rPr>
        <w:t xml:space="preserve">  </w:t>
      </w:r>
      <w:r>
        <w:rPr>
          <w:rFonts w:hint="eastAsia"/>
          <w:szCs w:val="21"/>
        </w:rPr>
        <w:t>（</w:t>
      </w:r>
      <w:r>
        <w:rPr>
          <w:szCs w:val="21"/>
        </w:rPr>
        <w:t>2</w:t>
      </w:r>
      <w:r>
        <w:rPr>
          <w:rFonts w:hint="eastAsia"/>
          <w:szCs w:val="21"/>
        </w:rPr>
        <w:t>）下年投资需要的权益资本为</w:t>
      </w:r>
      <w:r>
        <w:rPr>
          <w:szCs w:val="21"/>
        </w:rPr>
        <w:t>600</w:t>
      </w:r>
      <w:r>
        <w:rPr>
          <w:rFonts w:hint="eastAsia"/>
          <w:szCs w:val="21"/>
        </w:rPr>
        <w:t>万，</w:t>
      </w:r>
      <w:r>
        <w:rPr>
          <w:szCs w:val="21"/>
        </w:rPr>
        <w:t>2000-600=1400</w:t>
      </w:r>
      <w:r>
        <w:rPr>
          <w:rFonts w:hint="eastAsia"/>
          <w:szCs w:val="21"/>
        </w:rPr>
        <w:t>万元</w:t>
      </w:r>
    </w:p>
    <w:p w14:paraId="5FF45D96">
      <w:pPr>
        <w:rPr>
          <w:color w:val="FF0000"/>
          <w:szCs w:val="21"/>
        </w:rPr>
      </w:pPr>
      <w:r>
        <w:rPr>
          <w:rFonts w:hint="eastAsia"/>
          <w:szCs w:val="21"/>
        </w:rPr>
        <w:t>（</w:t>
      </w:r>
      <w:r>
        <w:rPr>
          <w:szCs w:val="21"/>
        </w:rPr>
        <w:t>3</w:t>
      </w:r>
      <w:r>
        <w:rPr>
          <w:rFonts w:hint="eastAsia"/>
          <w:szCs w:val="21"/>
        </w:rPr>
        <w:t>）每股股利</w:t>
      </w:r>
      <w:r>
        <w:rPr>
          <w:szCs w:val="21"/>
        </w:rPr>
        <w:t>2.8</w:t>
      </w:r>
      <w:r>
        <w:rPr>
          <w:rFonts w:hint="eastAsia"/>
          <w:szCs w:val="21"/>
        </w:rPr>
        <w:t>元</w:t>
      </w:r>
      <w:r>
        <w:rPr>
          <w:rFonts w:hint="eastAsia"/>
          <w:color w:val="FF0000"/>
          <w:szCs w:val="21"/>
        </w:rPr>
        <w:t xml:space="preserve"> </w:t>
      </w:r>
      <w:r>
        <w:rPr>
          <w:rFonts w:hint="eastAsia"/>
          <w:color w:val="000000"/>
          <w:szCs w:val="21"/>
        </w:rPr>
        <w:t>每股收益</w:t>
      </w:r>
      <w:r>
        <w:rPr>
          <w:color w:val="000000"/>
          <w:szCs w:val="21"/>
        </w:rPr>
        <w:t>4</w:t>
      </w:r>
      <w:r>
        <w:rPr>
          <w:rFonts w:hint="eastAsia"/>
          <w:color w:val="000000"/>
          <w:szCs w:val="21"/>
        </w:rPr>
        <w:t>元</w:t>
      </w:r>
    </w:p>
    <w:p w14:paraId="3CB73708">
      <w:pPr>
        <w:rPr>
          <w:szCs w:val="21"/>
        </w:rPr>
      </w:pPr>
    </w:p>
    <w:p w14:paraId="5BC70B31">
      <w:pPr>
        <w:rPr>
          <w:szCs w:val="21"/>
        </w:rPr>
      </w:pPr>
    </w:p>
    <w:p w14:paraId="34C1FE70">
      <w:pPr>
        <w:rPr>
          <w:rFonts w:asciiTheme="minorEastAsia" w:hAnsiTheme="minorEastAsia" w:eastAsiaTheme="minorEastAsia"/>
          <w:szCs w:val="21"/>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ˎ̥">
    <w:altName w:val="Times New Roman"/>
    <w:panose1 w:val="00000000000000000000"/>
    <w:charset w:val="00"/>
    <w:family w:val="roman"/>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F60DD4">
    <w:pPr>
      <w:pStyle w:val="3"/>
    </w:pPr>
    <w:r>
      <w:rPr>
        <w:rFonts w:hint="eastAsia" w:ascii="Calibri" w:hAnsi="Calibri" w:eastAsia="宋体" w:cs="Times New Roman"/>
      </w:rPr>
      <w:t xml:space="preserve">第 </w:t>
    </w:r>
    <w:r>
      <w:rPr>
        <w:rFonts w:hint="eastAsia"/>
      </w:rPr>
      <w:t>6</w:t>
    </w:r>
    <w:r>
      <w:rPr>
        <w:rFonts w:hint="eastAsia" w:ascii="Calibri" w:hAnsi="Calibri" w:eastAsia="宋体" w:cs="Times New Roman"/>
      </w:rPr>
      <w:t xml:space="preserve">  页（共 </w:t>
    </w:r>
    <w:r>
      <w:rPr>
        <w:rFonts w:hint="eastAsia"/>
      </w:rPr>
      <w:t>1</w:t>
    </w:r>
    <w:r>
      <w:rPr>
        <w:rFonts w:hint="eastAsia" w:ascii="Calibri" w:hAnsi="Calibri" w:eastAsia="宋体" w:cs="Times New Roman"/>
      </w:rPr>
      <w:t xml:space="preserve"> 页）</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639D"/>
    <w:rsid w:val="00020CE9"/>
    <w:rsid w:val="000A7808"/>
    <w:rsid w:val="000B26DA"/>
    <w:rsid w:val="000D5081"/>
    <w:rsid w:val="00103AC2"/>
    <w:rsid w:val="001B063E"/>
    <w:rsid w:val="001D1B98"/>
    <w:rsid w:val="0020227E"/>
    <w:rsid w:val="00221309"/>
    <w:rsid w:val="002B0E4A"/>
    <w:rsid w:val="00353338"/>
    <w:rsid w:val="00360E32"/>
    <w:rsid w:val="00391DC9"/>
    <w:rsid w:val="00462B62"/>
    <w:rsid w:val="004B68E3"/>
    <w:rsid w:val="004F6C07"/>
    <w:rsid w:val="00514188"/>
    <w:rsid w:val="00547F0B"/>
    <w:rsid w:val="00552C7D"/>
    <w:rsid w:val="00563631"/>
    <w:rsid w:val="005805EE"/>
    <w:rsid w:val="005C3CB4"/>
    <w:rsid w:val="005E246D"/>
    <w:rsid w:val="00627870"/>
    <w:rsid w:val="00655A68"/>
    <w:rsid w:val="00701786"/>
    <w:rsid w:val="00732440"/>
    <w:rsid w:val="00760B91"/>
    <w:rsid w:val="007951F5"/>
    <w:rsid w:val="007F0EA8"/>
    <w:rsid w:val="007F5203"/>
    <w:rsid w:val="00854D79"/>
    <w:rsid w:val="008C0DDD"/>
    <w:rsid w:val="008C639D"/>
    <w:rsid w:val="00914E39"/>
    <w:rsid w:val="0092350E"/>
    <w:rsid w:val="00937C41"/>
    <w:rsid w:val="0097486F"/>
    <w:rsid w:val="009C17E6"/>
    <w:rsid w:val="00A96143"/>
    <w:rsid w:val="00AA56D6"/>
    <w:rsid w:val="00AD13DB"/>
    <w:rsid w:val="00BB7DD5"/>
    <w:rsid w:val="00BF3425"/>
    <w:rsid w:val="00C07361"/>
    <w:rsid w:val="00C07F5C"/>
    <w:rsid w:val="00C25F3E"/>
    <w:rsid w:val="00D0490F"/>
    <w:rsid w:val="00D13AC4"/>
    <w:rsid w:val="00D82A7C"/>
    <w:rsid w:val="00DB3656"/>
    <w:rsid w:val="00E21032"/>
    <w:rsid w:val="00ED35E5"/>
    <w:rsid w:val="00EF512F"/>
    <w:rsid w:val="00F83160"/>
    <w:rsid w:val="00FA4344"/>
    <w:rsid w:val="00FC5060"/>
    <w:rsid w:val="00FD595E"/>
    <w:rsid w:val="11CD293E"/>
    <w:rsid w:val="2E662F0E"/>
    <w:rsid w:val="408838EA"/>
    <w:rsid w:val="5C60385F"/>
    <w:rsid w:val="5C910EF9"/>
    <w:rsid w:val="65A25C72"/>
    <w:rsid w:val="6D934EBA"/>
    <w:rsid w:val="6E187226"/>
    <w:rsid w:val="722D588A"/>
    <w:rsid w:val="77004661"/>
    <w:rsid w:val="7CAE76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9"/>
    <w:uiPriority w:val="0"/>
    <w:pPr>
      <w:widowControl/>
      <w:spacing w:before="100" w:beforeAutospacing="1" w:after="100" w:afterAutospacing="1"/>
      <w:jc w:val="left"/>
    </w:pPr>
    <w:rPr>
      <w:rFonts w:ascii="宋体" w:hAnsi="宋体"/>
      <w:kern w:val="0"/>
      <w:sz w:val="24"/>
    </w:rPr>
  </w:style>
  <w:style w:type="paragraph" w:styleId="3">
    <w:name w:val="footer"/>
    <w:basedOn w:val="1"/>
    <w:link w:val="8"/>
    <w:unhideWhenUsed/>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7"/>
    <w:unhideWhenUsed/>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7">
    <w:name w:val="页眉 字符"/>
    <w:basedOn w:val="6"/>
    <w:link w:val="4"/>
    <w:qFormat/>
    <w:uiPriority w:val="99"/>
    <w:rPr>
      <w:sz w:val="18"/>
      <w:szCs w:val="18"/>
    </w:rPr>
  </w:style>
  <w:style w:type="character" w:customStyle="1" w:styleId="8">
    <w:name w:val="页脚 字符"/>
    <w:basedOn w:val="6"/>
    <w:link w:val="3"/>
    <w:uiPriority w:val="99"/>
    <w:rPr>
      <w:sz w:val="18"/>
      <w:szCs w:val="18"/>
    </w:rPr>
  </w:style>
  <w:style w:type="character" w:customStyle="1" w:styleId="9">
    <w:name w:val="正文文本 字符"/>
    <w:basedOn w:val="6"/>
    <w:link w:val="2"/>
    <w:uiPriority w:val="0"/>
    <w:rPr>
      <w:rFonts w:ascii="宋体" w:hAnsi="宋体" w:eastAsia="宋体" w:cs="Times New Roman"/>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3.bin"/><Relationship Id="rId8" Type="http://schemas.openxmlformats.org/officeDocument/2006/relationships/image" Target="media/image2.wmf"/><Relationship Id="rId7" Type="http://schemas.openxmlformats.org/officeDocument/2006/relationships/oleObject" Target="embeddings/oleObject2.bin"/><Relationship Id="rId6" Type="http://schemas.openxmlformats.org/officeDocument/2006/relationships/image" Target="media/image1.wmf"/><Relationship Id="rId5" Type="http://schemas.openxmlformats.org/officeDocument/2006/relationships/oleObject" Target="embeddings/oleObject1.bin"/><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image" Target="media/image4.wmf"/><Relationship Id="rId11" Type="http://schemas.openxmlformats.org/officeDocument/2006/relationships/oleObject" Target="embeddings/oleObject4.bin"/><Relationship Id="rId10" Type="http://schemas.openxmlformats.org/officeDocument/2006/relationships/image" Target="media/image3.wmf"/><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4130</Words>
  <Characters>4517</Characters>
  <Lines>28</Lines>
  <Paragraphs>7</Paragraphs>
  <TotalTime>1</TotalTime>
  <ScaleCrop>false</ScaleCrop>
  <LinksUpToDate>false</LinksUpToDate>
  <CharactersWithSpaces>5070</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2022-03-14T04:17:00Z</dcterms:created>
  <dc:creator>zse</dc:creator>
  <cp:lastModifiedBy>黄岩育华李才聪</cp:lastModifiedBy>
  <dcterms:modified xsi:type="dcterms:W3CDTF">2024-12-24T07:16:24Z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2C714D9D23DF40FDA6ECAF6620951D46_13</vt:lpwstr>
  </property>
</Properties>
</file>