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cs="宋体"/>
          <w:b w:val="0"/>
          <w:bCs w:val="0"/>
          <w:color w:val="000000"/>
          <w:sz w:val="24"/>
          <w:szCs w:val="24"/>
          <w:u w:val="single"/>
          <w:lang w:val="en-US" w:eastAsia="zh-CN"/>
        </w:rPr>
      </w:pPr>
      <w:r>
        <w:rPr>
          <w:rFonts w:hint="eastAsia" w:ascii="宋体" w:hAnsi="宋体" w:cs="宋体"/>
          <w:b w:val="0"/>
          <w:bCs w:val="0"/>
          <w:color w:val="000000"/>
          <w:sz w:val="24"/>
          <w:szCs w:val="24"/>
          <w:u w:val="single"/>
          <w:lang w:val="en-US" w:eastAsia="zh-CN"/>
        </w:rPr>
        <w:t>财务管理学复习资料</w:t>
      </w:r>
    </w:p>
    <w:p>
      <w:pPr>
        <w:rPr>
          <w:rFonts w:hint="eastAsia" w:ascii="宋体" w:hAnsi="宋体" w:cs="宋体"/>
          <w:b w:val="0"/>
          <w:bCs w:val="0"/>
          <w:color w:val="000000"/>
          <w:sz w:val="24"/>
          <w:szCs w:val="24"/>
          <w:u w:val="single"/>
          <w:lang w:val="en-US" w:eastAsia="zh-CN"/>
        </w:rPr>
      </w:pPr>
    </w:p>
    <w:p>
      <w:pPr>
        <w:tabs>
          <w:tab w:val="left" w:pos="4253"/>
        </w:tabs>
        <w:rPr>
          <w:rFonts w:ascii="黑体" w:eastAsia="黑体"/>
          <w:b/>
        </w:rPr>
      </w:pPr>
      <w:r>
        <w:rPr>
          <w:rFonts w:hint="eastAsia" w:ascii="黑体" w:eastAsia="黑体"/>
          <w:b/>
        </w:rPr>
        <w:t>一、单项选择题</w:t>
      </w:r>
    </w:p>
    <w:p>
      <w:pPr>
        <w:tabs>
          <w:tab w:val="left" w:pos="4253"/>
        </w:tabs>
        <w:spacing w:line="400" w:lineRule="atLeast"/>
        <w:rPr>
          <w:rFonts w:hint="eastAsia" w:ascii="宋体" w:hAnsi="宋体" w:eastAsia="宋体" w:cs="宋体"/>
          <w:sz w:val="21"/>
          <w:szCs w:val="21"/>
          <w:lang w:val="en-US" w:eastAsia="zh-CN"/>
        </w:rPr>
      </w:pPr>
      <w:r>
        <w:rPr>
          <w:rFonts w:hint="eastAsia" w:ascii="宋体" w:hAnsi="宋体" w:eastAsia="宋体" w:cs="宋体"/>
          <w:sz w:val="21"/>
          <w:szCs w:val="21"/>
        </w:rPr>
        <w:t xml:space="preserve">1.现代财务管理目标是（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 xml:space="preserve">A.利润最大化 </w:t>
      </w:r>
      <w:r>
        <w:rPr>
          <w:rFonts w:hint="eastAsia" w:ascii="宋体" w:hAnsi="宋体" w:cs="宋体"/>
          <w:sz w:val="21"/>
          <w:szCs w:val="21"/>
          <w:lang w:val="en-US" w:eastAsia="zh-CN"/>
        </w:rPr>
        <w:t xml:space="preserve">      </w:t>
      </w:r>
      <w:r>
        <w:rPr>
          <w:rFonts w:hint="eastAsia" w:ascii="宋体" w:hAnsi="宋体" w:eastAsia="宋体" w:cs="宋体"/>
          <w:sz w:val="21"/>
          <w:szCs w:val="21"/>
        </w:rPr>
        <w:t>B</w:t>
      </w:r>
      <w:r>
        <w:rPr>
          <w:rFonts w:hint="eastAsia" w:ascii="宋体" w:hAnsi="宋体" w:cs="宋体"/>
          <w:sz w:val="21"/>
          <w:szCs w:val="21"/>
          <w:lang w:val="en-US" w:eastAsia="zh-CN"/>
        </w:rPr>
        <w:t>.</w:t>
      </w:r>
      <w:r>
        <w:rPr>
          <w:rFonts w:hint="eastAsia" w:ascii="宋体" w:hAnsi="宋体" w:eastAsia="宋体" w:cs="宋体"/>
          <w:sz w:val="21"/>
          <w:szCs w:val="21"/>
        </w:rPr>
        <w:t>股东利益最大化</w:t>
      </w:r>
      <w:r>
        <w:rPr>
          <w:rFonts w:hint="eastAsia" w:ascii="宋体" w:hAnsi="宋体" w:cs="宋体"/>
          <w:sz w:val="21"/>
          <w:szCs w:val="21"/>
          <w:lang w:val="en-US" w:eastAsia="zh-CN"/>
        </w:rPr>
        <w:t xml:space="preserve">       </w:t>
      </w:r>
      <w:r>
        <w:rPr>
          <w:rFonts w:hint="eastAsia" w:ascii="宋体" w:hAnsi="宋体" w:eastAsia="宋体" w:cs="宋体"/>
          <w:sz w:val="21"/>
          <w:szCs w:val="21"/>
        </w:rPr>
        <w:t>C.股东财富最大化</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D.企业价值最大化</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 xml:space="preserve">2.已知甲方案投资收益率的期望值为16％，乙方案投资收益率的期望值为18％，比较甲、乙两个方案风险大小应采用的指标是（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A.标准离差</w:t>
      </w:r>
      <w:r>
        <w:rPr>
          <w:rFonts w:hint="eastAsia" w:ascii="宋体" w:hAnsi="宋体" w:cs="宋体"/>
          <w:sz w:val="21"/>
          <w:szCs w:val="21"/>
          <w:lang w:val="en-US" w:eastAsia="zh-CN"/>
        </w:rPr>
        <w:t xml:space="preserve">         </w:t>
      </w:r>
      <w:r>
        <w:rPr>
          <w:rFonts w:hint="eastAsia" w:ascii="宋体" w:hAnsi="宋体" w:eastAsia="宋体" w:cs="宋体"/>
          <w:sz w:val="21"/>
          <w:szCs w:val="21"/>
        </w:rPr>
        <w:t>B.期望值</w:t>
      </w:r>
      <w:r>
        <w:rPr>
          <w:rFonts w:hint="eastAsia" w:ascii="宋体" w:hAnsi="宋体" w:cs="宋体"/>
          <w:sz w:val="21"/>
          <w:szCs w:val="21"/>
          <w:lang w:val="en-US" w:eastAsia="zh-CN"/>
        </w:rPr>
        <w:t xml:space="preserve">               </w:t>
      </w:r>
      <w:r>
        <w:rPr>
          <w:rFonts w:hint="eastAsia" w:ascii="宋体" w:hAnsi="宋体" w:eastAsia="宋体" w:cs="宋体"/>
          <w:sz w:val="21"/>
          <w:szCs w:val="21"/>
        </w:rPr>
        <w:t>C.净现值</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D.标准离差率</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 xml:space="preserve">3A公司每股利润0.8元，市盈率15元，该公司股票的价格是（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cs="宋体"/>
          <w:sz w:val="21"/>
          <w:szCs w:val="21"/>
          <w:lang w:val="en-US" w:eastAsia="zh-CN"/>
        </w:rPr>
        <w:t>.</w:t>
      </w:r>
      <w:r>
        <w:rPr>
          <w:rFonts w:hint="eastAsia" w:ascii="宋体" w:hAnsi="宋体" w:eastAsia="宋体" w:cs="宋体"/>
          <w:sz w:val="21"/>
          <w:szCs w:val="21"/>
        </w:rPr>
        <w:t xml:space="preserve">12元     </w:t>
      </w:r>
      <w:r>
        <w:rPr>
          <w:rFonts w:hint="eastAsia" w:ascii="宋体" w:hAnsi="宋体" w:cs="宋体"/>
          <w:sz w:val="21"/>
          <w:szCs w:val="21"/>
          <w:lang w:val="en-US" w:eastAsia="zh-CN"/>
        </w:rPr>
        <w:t xml:space="preserve">        </w:t>
      </w:r>
      <w:r>
        <w:rPr>
          <w:rFonts w:hint="eastAsia" w:ascii="宋体" w:hAnsi="宋体" w:eastAsia="宋体" w:cs="宋体"/>
          <w:sz w:val="21"/>
          <w:szCs w:val="21"/>
        </w:rPr>
        <w:t>B</w:t>
      </w:r>
      <w:r>
        <w:rPr>
          <w:rFonts w:hint="eastAsia" w:ascii="宋体" w:hAnsi="宋体" w:cs="宋体"/>
          <w:sz w:val="21"/>
          <w:szCs w:val="21"/>
          <w:lang w:val="en-US" w:eastAsia="zh-CN"/>
        </w:rPr>
        <w:t>.</w:t>
      </w:r>
      <w:r>
        <w:rPr>
          <w:rFonts w:hint="eastAsia" w:ascii="宋体" w:hAnsi="宋体" w:eastAsia="宋体" w:cs="宋体"/>
          <w:sz w:val="21"/>
          <w:szCs w:val="21"/>
        </w:rPr>
        <w:t xml:space="preserve">14元  </w:t>
      </w:r>
      <w:r>
        <w:rPr>
          <w:rFonts w:hint="eastAsia" w:ascii="宋体" w:hAnsi="宋体" w:cs="宋体"/>
          <w:sz w:val="21"/>
          <w:szCs w:val="21"/>
          <w:lang w:val="en-US" w:eastAsia="zh-CN"/>
        </w:rPr>
        <w:t xml:space="preserve">              </w:t>
      </w:r>
      <w:r>
        <w:rPr>
          <w:rFonts w:hint="eastAsia" w:ascii="宋体" w:hAnsi="宋体" w:eastAsia="宋体" w:cs="宋体"/>
          <w:sz w:val="21"/>
          <w:szCs w:val="21"/>
        </w:rPr>
        <w:t>C</w:t>
      </w:r>
      <w:r>
        <w:rPr>
          <w:rFonts w:hint="eastAsia" w:ascii="宋体" w:hAnsi="宋体" w:cs="宋体"/>
          <w:sz w:val="21"/>
          <w:szCs w:val="21"/>
          <w:lang w:val="en-US" w:eastAsia="zh-CN"/>
        </w:rPr>
        <w:t>.</w:t>
      </w:r>
      <w:r>
        <w:rPr>
          <w:rFonts w:hint="eastAsia" w:ascii="宋体" w:hAnsi="宋体" w:eastAsia="宋体" w:cs="宋体"/>
          <w:sz w:val="21"/>
          <w:szCs w:val="21"/>
        </w:rPr>
        <w:t xml:space="preserve">15元   </w:t>
      </w:r>
      <w:r>
        <w:rPr>
          <w:rFonts w:hint="eastAsia" w:ascii="宋体" w:hAnsi="宋体" w:cs="宋体"/>
          <w:sz w:val="21"/>
          <w:szCs w:val="21"/>
          <w:lang w:val="en-US" w:eastAsia="zh-CN"/>
        </w:rPr>
        <w:t xml:space="preserve">              </w:t>
      </w:r>
      <w:r>
        <w:rPr>
          <w:rFonts w:hint="eastAsia" w:ascii="宋体" w:hAnsi="宋体" w:eastAsia="宋体" w:cs="宋体"/>
          <w:sz w:val="21"/>
          <w:szCs w:val="21"/>
        </w:rPr>
        <w:t>D</w:t>
      </w:r>
      <w:r>
        <w:rPr>
          <w:rFonts w:hint="eastAsia" w:ascii="宋体" w:hAnsi="宋体" w:cs="宋体"/>
          <w:sz w:val="21"/>
          <w:szCs w:val="21"/>
          <w:lang w:val="en-US" w:eastAsia="zh-CN"/>
        </w:rPr>
        <w:t>.</w:t>
      </w:r>
      <w:r>
        <w:rPr>
          <w:rFonts w:hint="eastAsia" w:ascii="宋体" w:hAnsi="宋体" w:eastAsia="宋体" w:cs="宋体"/>
          <w:sz w:val="21"/>
          <w:szCs w:val="21"/>
        </w:rPr>
        <w:t>18元</w:t>
      </w:r>
    </w:p>
    <w:p>
      <w:pPr>
        <w:numPr>
          <w:ilvl w:val="0"/>
          <w:numId w:val="1"/>
        </w:num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 xml:space="preserve">企业财务运动不包括哪个环节（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numPr>
          <w:ilvl w:val="0"/>
          <w:numId w:val="0"/>
        </w:numPr>
        <w:tabs>
          <w:tab w:val="left" w:pos="4253"/>
        </w:tabs>
        <w:spacing w:line="400" w:lineRule="atLeast"/>
        <w:rPr>
          <w:rFonts w:hint="eastAsia" w:ascii="宋体" w:hAnsi="宋体" w:eastAsia="宋体" w:cs="宋体"/>
          <w:sz w:val="21"/>
          <w:szCs w:val="21"/>
        </w:rPr>
      </w:pPr>
      <w:r>
        <w:rPr>
          <w:rFonts w:hint="eastAsia" w:ascii="宋体" w:hAnsi="宋体" w:cs="宋体"/>
          <w:sz w:val="21"/>
          <w:szCs w:val="21"/>
          <w:lang w:val="en-US" w:eastAsia="zh-CN"/>
        </w:rPr>
        <w:t>A.</w:t>
      </w:r>
      <w:r>
        <w:rPr>
          <w:rFonts w:hint="eastAsia" w:ascii="宋体" w:hAnsi="宋体" w:eastAsia="宋体" w:cs="宋体"/>
          <w:sz w:val="21"/>
          <w:szCs w:val="21"/>
        </w:rPr>
        <w:t xml:space="preserve">筹资活动   </w:t>
      </w:r>
      <w:r>
        <w:rPr>
          <w:rFonts w:hint="eastAsia" w:ascii="宋体" w:hAnsi="宋体" w:cs="宋体"/>
          <w:sz w:val="21"/>
          <w:szCs w:val="21"/>
          <w:lang w:val="en-US" w:eastAsia="zh-CN"/>
        </w:rPr>
        <w:t xml:space="preserve">      </w:t>
      </w:r>
      <w:r>
        <w:rPr>
          <w:rFonts w:hint="eastAsia" w:ascii="宋体" w:hAnsi="宋体" w:eastAsia="宋体" w:cs="宋体"/>
          <w:sz w:val="21"/>
          <w:szCs w:val="21"/>
        </w:rPr>
        <w:t>B</w:t>
      </w:r>
      <w:r>
        <w:rPr>
          <w:rFonts w:hint="eastAsia" w:ascii="宋体" w:hAnsi="宋体" w:cs="宋体"/>
          <w:sz w:val="21"/>
          <w:szCs w:val="21"/>
          <w:lang w:val="en-US" w:eastAsia="zh-CN"/>
        </w:rPr>
        <w:t>.</w:t>
      </w:r>
      <w:r>
        <w:rPr>
          <w:rFonts w:hint="eastAsia" w:ascii="宋体" w:hAnsi="宋体" w:eastAsia="宋体" w:cs="宋体"/>
          <w:sz w:val="21"/>
          <w:szCs w:val="21"/>
        </w:rPr>
        <w:t xml:space="preserve">投资活动 </w:t>
      </w:r>
      <w:r>
        <w:rPr>
          <w:rFonts w:hint="eastAsia" w:ascii="宋体" w:hAnsi="宋体" w:cs="宋体"/>
          <w:sz w:val="21"/>
          <w:szCs w:val="21"/>
          <w:lang w:val="en-US" w:eastAsia="zh-CN"/>
        </w:rPr>
        <w:t xml:space="preserve">            </w:t>
      </w:r>
      <w:r>
        <w:rPr>
          <w:rFonts w:hint="eastAsia" w:ascii="宋体" w:hAnsi="宋体" w:eastAsia="宋体" w:cs="宋体"/>
          <w:sz w:val="21"/>
          <w:szCs w:val="21"/>
        </w:rPr>
        <w:t>C</w:t>
      </w:r>
      <w:r>
        <w:rPr>
          <w:rFonts w:hint="eastAsia" w:ascii="宋体" w:hAnsi="宋体" w:cs="宋体"/>
          <w:sz w:val="21"/>
          <w:szCs w:val="21"/>
          <w:lang w:val="en-US" w:eastAsia="zh-CN"/>
        </w:rPr>
        <w:t>.</w:t>
      </w:r>
      <w:r>
        <w:rPr>
          <w:rFonts w:hint="eastAsia" w:ascii="宋体" w:hAnsi="宋体" w:eastAsia="宋体" w:cs="宋体"/>
          <w:sz w:val="21"/>
          <w:szCs w:val="21"/>
        </w:rPr>
        <w:t xml:space="preserve">控制活动  </w:t>
      </w:r>
      <w:r>
        <w:rPr>
          <w:rFonts w:hint="eastAsia" w:ascii="宋体" w:hAnsi="宋体" w:cs="宋体"/>
          <w:sz w:val="21"/>
          <w:szCs w:val="21"/>
          <w:lang w:val="en-US" w:eastAsia="zh-CN"/>
        </w:rPr>
        <w:t xml:space="preserve">           </w:t>
      </w:r>
      <w:r>
        <w:rPr>
          <w:rFonts w:hint="eastAsia" w:ascii="宋体" w:hAnsi="宋体" w:eastAsia="宋体" w:cs="宋体"/>
          <w:sz w:val="21"/>
          <w:szCs w:val="21"/>
        </w:rPr>
        <w:t>D</w:t>
      </w:r>
      <w:r>
        <w:rPr>
          <w:rFonts w:hint="eastAsia" w:ascii="宋体" w:hAnsi="宋体" w:cs="宋体"/>
          <w:sz w:val="21"/>
          <w:szCs w:val="21"/>
          <w:lang w:val="en-US" w:eastAsia="zh-CN"/>
        </w:rPr>
        <w:t>.</w:t>
      </w:r>
      <w:r>
        <w:rPr>
          <w:rFonts w:hint="eastAsia" w:ascii="宋体" w:hAnsi="宋体" w:eastAsia="宋体" w:cs="宋体"/>
          <w:sz w:val="21"/>
          <w:szCs w:val="21"/>
        </w:rPr>
        <w:t>股利分配活动</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 xml:space="preserve">5.理论上讲，下列筹资方式中资本成本最低的是（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A.发行普通股</w:t>
      </w:r>
      <w:r>
        <w:rPr>
          <w:rFonts w:hint="eastAsia" w:ascii="宋体" w:hAnsi="宋体" w:cs="宋体"/>
          <w:sz w:val="21"/>
          <w:szCs w:val="21"/>
          <w:lang w:val="en-US" w:eastAsia="zh-CN"/>
        </w:rPr>
        <w:t xml:space="preserve">       </w:t>
      </w:r>
      <w:r>
        <w:rPr>
          <w:rFonts w:hint="eastAsia" w:ascii="宋体" w:hAnsi="宋体" w:eastAsia="宋体" w:cs="宋体"/>
          <w:sz w:val="21"/>
          <w:szCs w:val="21"/>
        </w:rPr>
        <w:t>B.留用利润</w:t>
      </w:r>
      <w:r>
        <w:rPr>
          <w:rFonts w:hint="eastAsia" w:ascii="宋体" w:hAnsi="宋体" w:cs="宋体"/>
          <w:sz w:val="21"/>
          <w:szCs w:val="21"/>
          <w:lang w:val="en-US" w:eastAsia="zh-CN"/>
        </w:rPr>
        <w:t xml:space="preserve">             </w:t>
      </w:r>
      <w:r>
        <w:rPr>
          <w:rFonts w:hint="eastAsia" w:ascii="宋体" w:hAnsi="宋体" w:eastAsia="宋体" w:cs="宋体"/>
          <w:sz w:val="21"/>
          <w:szCs w:val="21"/>
        </w:rPr>
        <w:t>C.发行债券</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D.发行优先股</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 xml:space="preserve">6.与权益资金筹资方式相比，银行借款筹资的优点是（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A.资本成本高</w:t>
      </w:r>
      <w:r>
        <w:rPr>
          <w:rFonts w:hint="eastAsia" w:ascii="宋体" w:hAnsi="宋体" w:cs="宋体"/>
          <w:sz w:val="21"/>
          <w:szCs w:val="21"/>
          <w:lang w:val="en-US" w:eastAsia="zh-CN"/>
        </w:rPr>
        <w:t xml:space="preserve">       </w:t>
      </w:r>
      <w:r>
        <w:rPr>
          <w:rFonts w:hint="eastAsia" w:ascii="宋体" w:hAnsi="宋体" w:eastAsia="宋体" w:cs="宋体"/>
          <w:sz w:val="21"/>
          <w:szCs w:val="21"/>
        </w:rPr>
        <w:t>B.财务风险大</w:t>
      </w:r>
      <w:r>
        <w:rPr>
          <w:rFonts w:hint="eastAsia" w:ascii="宋体" w:hAnsi="宋体" w:cs="宋体"/>
          <w:sz w:val="21"/>
          <w:szCs w:val="21"/>
          <w:lang w:val="en-US" w:eastAsia="zh-CN"/>
        </w:rPr>
        <w:t xml:space="preserve">           </w:t>
      </w:r>
      <w:r>
        <w:rPr>
          <w:rFonts w:hint="eastAsia" w:ascii="宋体" w:hAnsi="宋体" w:eastAsia="宋体" w:cs="宋体"/>
          <w:sz w:val="21"/>
          <w:szCs w:val="21"/>
        </w:rPr>
        <w:t>C.筹资的速度快</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D.分散企业控制权</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7.企业持有现金动机一般</w:t>
      </w:r>
      <w:r>
        <w:rPr>
          <w:rFonts w:hint="eastAsia" w:ascii="宋体" w:hAnsi="宋体" w:eastAsia="宋体" w:cs="宋体"/>
          <w:sz w:val="21"/>
          <w:szCs w:val="21"/>
          <w:em w:val="dot"/>
        </w:rPr>
        <w:t>不包括那些</w:t>
      </w:r>
      <w:r>
        <w:rPr>
          <w:rFonts w:hint="eastAsia" w:ascii="宋体" w:hAnsi="宋体" w:eastAsia="宋体" w:cs="宋体"/>
          <w:sz w:val="21"/>
          <w:szCs w:val="21"/>
        </w:rPr>
        <w:t xml:space="preserve">动机（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cs="宋体"/>
          <w:sz w:val="21"/>
          <w:szCs w:val="21"/>
          <w:lang w:eastAsia="zh-CN"/>
        </w:rPr>
        <w:t>.</w:t>
      </w:r>
      <w:r>
        <w:rPr>
          <w:rFonts w:hint="eastAsia" w:ascii="宋体" w:hAnsi="宋体" w:eastAsia="宋体" w:cs="宋体"/>
          <w:sz w:val="21"/>
          <w:szCs w:val="21"/>
        </w:rPr>
        <w:t>交易动机</w:t>
      </w:r>
      <w:r>
        <w:rPr>
          <w:rFonts w:hint="eastAsia" w:ascii="宋体" w:hAnsi="宋体" w:cs="宋体"/>
          <w:sz w:val="21"/>
          <w:szCs w:val="21"/>
          <w:lang w:val="en-US" w:eastAsia="zh-CN"/>
        </w:rPr>
        <w:t xml:space="preserve">         </w:t>
      </w:r>
      <w:r>
        <w:rPr>
          <w:rFonts w:hint="eastAsia" w:ascii="宋体" w:hAnsi="宋体" w:eastAsia="宋体" w:cs="宋体"/>
          <w:sz w:val="21"/>
          <w:szCs w:val="21"/>
        </w:rPr>
        <w:t>B.预防动机</w:t>
      </w:r>
      <w:r>
        <w:rPr>
          <w:rFonts w:hint="eastAsia" w:ascii="宋体" w:hAnsi="宋体" w:cs="宋体"/>
          <w:sz w:val="21"/>
          <w:szCs w:val="21"/>
          <w:lang w:val="en-US" w:eastAsia="zh-CN"/>
        </w:rPr>
        <w:t xml:space="preserve">             </w:t>
      </w:r>
      <w:r>
        <w:rPr>
          <w:rFonts w:hint="eastAsia" w:ascii="宋体" w:hAnsi="宋体" w:eastAsia="宋体" w:cs="宋体"/>
          <w:sz w:val="21"/>
          <w:szCs w:val="21"/>
        </w:rPr>
        <w:t>C.投机动机</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D.投资动机</w:t>
      </w:r>
    </w:p>
    <w:p>
      <w:pPr>
        <w:numPr>
          <w:ilvl w:val="0"/>
          <w:numId w:val="2"/>
        </w:num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 xml:space="preserve">企业对外投资活动中，由于汇率变化引起的风险是（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cs="宋体"/>
          <w:sz w:val="21"/>
          <w:szCs w:val="21"/>
          <w:lang w:eastAsia="zh-CN"/>
        </w:rPr>
        <w:t>.</w:t>
      </w:r>
      <w:r>
        <w:rPr>
          <w:rFonts w:hint="eastAsia" w:ascii="宋体" w:hAnsi="宋体" w:eastAsia="宋体" w:cs="宋体"/>
          <w:sz w:val="21"/>
          <w:szCs w:val="21"/>
        </w:rPr>
        <w:t xml:space="preserve">利率风险  </w:t>
      </w:r>
      <w:r>
        <w:rPr>
          <w:rFonts w:hint="eastAsia" w:ascii="宋体" w:hAnsi="宋体" w:cs="宋体"/>
          <w:sz w:val="21"/>
          <w:szCs w:val="21"/>
          <w:lang w:val="en-US" w:eastAsia="zh-CN"/>
        </w:rPr>
        <w:t xml:space="preserve">       </w:t>
      </w:r>
      <w:r>
        <w:rPr>
          <w:rFonts w:hint="eastAsia" w:ascii="宋体" w:hAnsi="宋体" w:eastAsia="宋体" w:cs="宋体"/>
          <w:sz w:val="21"/>
          <w:szCs w:val="21"/>
        </w:rPr>
        <w:t>B</w:t>
      </w:r>
      <w:r>
        <w:rPr>
          <w:rFonts w:hint="eastAsia" w:ascii="宋体" w:hAnsi="宋体" w:cs="宋体"/>
          <w:sz w:val="21"/>
          <w:szCs w:val="21"/>
          <w:lang w:val="en-US" w:eastAsia="zh-CN"/>
        </w:rPr>
        <w:t>.</w:t>
      </w:r>
      <w:r>
        <w:rPr>
          <w:rFonts w:hint="eastAsia" w:ascii="宋体" w:hAnsi="宋体" w:eastAsia="宋体" w:cs="宋体"/>
          <w:sz w:val="21"/>
          <w:szCs w:val="21"/>
        </w:rPr>
        <w:t xml:space="preserve">市场风险  </w:t>
      </w:r>
      <w:r>
        <w:rPr>
          <w:rFonts w:hint="eastAsia" w:ascii="宋体" w:hAnsi="宋体" w:cs="宋体"/>
          <w:sz w:val="21"/>
          <w:szCs w:val="21"/>
          <w:lang w:val="en-US" w:eastAsia="zh-CN"/>
        </w:rPr>
        <w:t xml:space="preserve">           </w:t>
      </w:r>
      <w:r>
        <w:rPr>
          <w:rFonts w:hint="eastAsia" w:ascii="宋体" w:hAnsi="宋体" w:eastAsia="宋体" w:cs="宋体"/>
          <w:sz w:val="21"/>
          <w:szCs w:val="21"/>
        </w:rPr>
        <w:t>C</w:t>
      </w:r>
      <w:r>
        <w:rPr>
          <w:rFonts w:hint="eastAsia" w:ascii="宋体" w:hAnsi="宋体" w:cs="宋体"/>
          <w:sz w:val="21"/>
          <w:szCs w:val="21"/>
          <w:lang w:val="en-US" w:eastAsia="zh-CN"/>
        </w:rPr>
        <w:t>.</w:t>
      </w:r>
      <w:r>
        <w:rPr>
          <w:rFonts w:hint="eastAsia" w:ascii="宋体" w:hAnsi="宋体" w:eastAsia="宋体" w:cs="宋体"/>
          <w:sz w:val="21"/>
          <w:szCs w:val="21"/>
        </w:rPr>
        <w:t xml:space="preserve">外汇风险  </w:t>
      </w:r>
      <w:r>
        <w:rPr>
          <w:rFonts w:hint="eastAsia" w:ascii="宋体" w:hAnsi="宋体" w:cs="宋体"/>
          <w:sz w:val="21"/>
          <w:szCs w:val="21"/>
          <w:lang w:val="en-US" w:eastAsia="zh-CN"/>
        </w:rPr>
        <w:t xml:space="preserve">           </w:t>
      </w:r>
      <w:r>
        <w:rPr>
          <w:rFonts w:hint="eastAsia" w:ascii="宋体" w:hAnsi="宋体" w:eastAsia="宋体" w:cs="宋体"/>
          <w:sz w:val="21"/>
          <w:szCs w:val="21"/>
        </w:rPr>
        <w:t>D</w:t>
      </w:r>
      <w:r>
        <w:rPr>
          <w:rFonts w:hint="eastAsia" w:ascii="宋体" w:hAnsi="宋体" w:cs="宋体"/>
          <w:sz w:val="21"/>
          <w:szCs w:val="21"/>
          <w:lang w:val="en-US" w:eastAsia="zh-CN"/>
        </w:rPr>
        <w:t>.</w:t>
      </w:r>
      <w:r>
        <w:rPr>
          <w:rFonts w:hint="eastAsia" w:ascii="宋体" w:hAnsi="宋体" w:eastAsia="宋体" w:cs="宋体"/>
          <w:sz w:val="21"/>
          <w:szCs w:val="21"/>
        </w:rPr>
        <w:t>通货膨胀风险</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9.下列各项中，</w:t>
      </w:r>
      <w:r>
        <w:rPr>
          <w:rFonts w:hint="eastAsia" w:ascii="宋体" w:hAnsi="宋体" w:eastAsia="宋体" w:cs="宋体"/>
          <w:sz w:val="21"/>
          <w:szCs w:val="21"/>
          <w:em w:val="dot"/>
        </w:rPr>
        <w:t>不属于</w:t>
      </w:r>
      <w:r>
        <w:rPr>
          <w:rFonts w:hint="eastAsia" w:ascii="宋体" w:hAnsi="宋体" w:eastAsia="宋体" w:cs="宋体"/>
          <w:sz w:val="21"/>
          <w:szCs w:val="21"/>
        </w:rPr>
        <w:t xml:space="preserve">信用政策构成内容的是（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A.收账政策</w:t>
      </w:r>
      <w:r>
        <w:rPr>
          <w:rFonts w:hint="eastAsia" w:ascii="宋体" w:hAnsi="宋体" w:cs="宋体"/>
          <w:sz w:val="21"/>
          <w:szCs w:val="21"/>
          <w:lang w:val="en-US" w:eastAsia="zh-CN"/>
        </w:rPr>
        <w:t xml:space="preserve">         </w:t>
      </w:r>
      <w:r>
        <w:rPr>
          <w:rFonts w:hint="eastAsia" w:ascii="宋体" w:hAnsi="宋体" w:eastAsia="宋体" w:cs="宋体"/>
          <w:sz w:val="21"/>
          <w:szCs w:val="21"/>
        </w:rPr>
        <w:t>B.信用期限</w:t>
      </w:r>
      <w:r>
        <w:rPr>
          <w:rFonts w:hint="eastAsia" w:ascii="宋体" w:hAnsi="宋体" w:cs="宋体"/>
          <w:sz w:val="21"/>
          <w:szCs w:val="21"/>
          <w:lang w:val="en-US" w:eastAsia="zh-CN"/>
        </w:rPr>
        <w:t xml:space="preserve">             </w:t>
      </w:r>
      <w:r>
        <w:rPr>
          <w:rFonts w:hint="eastAsia" w:ascii="宋体" w:hAnsi="宋体" w:eastAsia="宋体" w:cs="宋体"/>
          <w:sz w:val="21"/>
          <w:szCs w:val="21"/>
        </w:rPr>
        <w:t>C.商业折扣</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D.信用标准</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 xml:space="preserve">10.某投资项目的初始投资额为100万元，使用寿命为10年，无其它非付现成本，每年营业净现金流量为20万元，固定资产残值收入10万元，则该项目的第10年净现金流量是（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eastAsia="zh-CN"/>
        </w:rPr>
        <w:t>。</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cs="宋体"/>
          <w:sz w:val="21"/>
          <w:szCs w:val="21"/>
          <w:lang w:val="en-US" w:eastAsia="zh-CN"/>
        </w:rPr>
        <w:t>.</w:t>
      </w:r>
      <w:r>
        <w:rPr>
          <w:rFonts w:hint="eastAsia" w:ascii="宋体" w:hAnsi="宋体" w:eastAsia="宋体" w:cs="宋体"/>
          <w:sz w:val="21"/>
          <w:szCs w:val="21"/>
        </w:rPr>
        <w:t>20万元</w:t>
      </w:r>
      <w:r>
        <w:rPr>
          <w:rFonts w:hint="eastAsia" w:ascii="宋体" w:hAnsi="宋体" w:cs="宋体"/>
          <w:sz w:val="21"/>
          <w:szCs w:val="21"/>
          <w:lang w:val="en-US" w:eastAsia="zh-CN"/>
        </w:rPr>
        <w:t xml:space="preserve">           </w:t>
      </w:r>
      <w:r>
        <w:rPr>
          <w:rFonts w:hint="eastAsia" w:ascii="宋体" w:hAnsi="宋体" w:eastAsia="宋体" w:cs="宋体"/>
          <w:sz w:val="21"/>
          <w:szCs w:val="21"/>
        </w:rPr>
        <w:t>B.30万元</w:t>
      </w:r>
      <w:r>
        <w:rPr>
          <w:rFonts w:hint="eastAsia" w:ascii="宋体" w:hAnsi="宋体" w:cs="宋体"/>
          <w:sz w:val="21"/>
          <w:szCs w:val="21"/>
          <w:lang w:val="en-US" w:eastAsia="zh-CN"/>
        </w:rPr>
        <w:t xml:space="preserve">              </w:t>
      </w:r>
      <w:r>
        <w:rPr>
          <w:rFonts w:hint="eastAsia" w:ascii="宋体" w:hAnsi="宋体" w:eastAsia="宋体" w:cs="宋体"/>
          <w:sz w:val="21"/>
          <w:szCs w:val="21"/>
        </w:rPr>
        <w:t>C.40万元</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D.50万元</w:t>
      </w:r>
    </w:p>
    <w:p>
      <w:pPr>
        <w:numPr>
          <w:ilvl w:val="0"/>
          <w:numId w:val="3"/>
        </w:numPr>
        <w:tabs>
          <w:tab w:val="left" w:pos="4253"/>
        </w:tabs>
        <w:spacing w:line="400" w:lineRule="atLeast"/>
        <w:rPr>
          <w:rFonts w:hint="eastAsia" w:eastAsia="黑体"/>
          <w:b/>
          <w:szCs w:val="22"/>
        </w:rPr>
      </w:pPr>
      <w:r>
        <w:rPr>
          <w:rFonts w:hint="eastAsia" w:eastAsia="黑体"/>
          <w:b/>
          <w:szCs w:val="22"/>
        </w:rPr>
        <w:t>多项选择题</w:t>
      </w:r>
    </w:p>
    <w:p>
      <w:pPr>
        <w:numPr>
          <w:ilvl w:val="0"/>
          <w:numId w:val="0"/>
        </w:numPr>
        <w:tabs>
          <w:tab w:val="left" w:pos="4253"/>
        </w:tabs>
        <w:spacing w:line="400" w:lineRule="atLeast"/>
        <w:rPr>
          <w:rFonts w:hint="eastAsia" w:ascii="宋体" w:hAnsi="宋体" w:eastAsia="宋体" w:cs="宋体"/>
          <w:szCs w:val="22"/>
        </w:rPr>
      </w:pPr>
      <w:r>
        <w:rPr>
          <w:rFonts w:hint="eastAsia" w:ascii="宋体" w:hAnsi="宋体" w:eastAsia="宋体" w:cs="宋体"/>
          <w:szCs w:val="22"/>
        </w:rPr>
        <w:t>11</w:t>
      </w:r>
      <w:r>
        <w:rPr>
          <w:rFonts w:hint="eastAsia" w:ascii="宋体" w:hAnsi="宋体" w:eastAsia="宋体" w:cs="宋体"/>
          <w:szCs w:val="22"/>
          <w:lang w:val="en-US" w:eastAsia="zh-CN"/>
        </w:rPr>
        <w:t>.</w:t>
      </w:r>
      <w:r>
        <w:rPr>
          <w:rFonts w:hint="eastAsia" w:ascii="宋体" w:hAnsi="宋体" w:eastAsia="宋体" w:cs="宋体"/>
          <w:szCs w:val="22"/>
        </w:rPr>
        <w:t>年金按每次收付款发生的时点不同，分为</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tabs>
          <w:tab w:val="left" w:pos="4253"/>
        </w:tabs>
        <w:spacing w:line="400" w:lineRule="atLeast"/>
        <w:rPr>
          <w:rFonts w:hint="eastAsia" w:ascii="宋体" w:hAnsi="宋体" w:eastAsia="宋体" w:cs="宋体"/>
          <w:szCs w:val="22"/>
        </w:rPr>
      </w:pPr>
      <w:r>
        <w:rPr>
          <w:rFonts w:hint="eastAsia" w:ascii="宋体" w:hAnsi="宋体" w:eastAsia="宋体" w:cs="宋体"/>
          <w:szCs w:val="22"/>
        </w:rPr>
        <w:t>A</w:t>
      </w:r>
      <w:r>
        <w:rPr>
          <w:rFonts w:hint="eastAsia" w:ascii="宋体" w:hAnsi="宋体" w:cs="宋体"/>
          <w:szCs w:val="22"/>
          <w:lang w:val="en-US" w:eastAsia="zh-CN"/>
        </w:rPr>
        <w:t>.</w:t>
      </w:r>
      <w:r>
        <w:rPr>
          <w:rFonts w:hint="eastAsia" w:ascii="宋体" w:hAnsi="宋体" w:eastAsia="宋体" w:cs="宋体"/>
          <w:szCs w:val="22"/>
        </w:rPr>
        <w:t xml:space="preserve">先付年金  </w:t>
      </w:r>
      <w:r>
        <w:rPr>
          <w:rFonts w:hint="eastAsia" w:ascii="宋体" w:hAnsi="宋体" w:cs="宋体"/>
          <w:szCs w:val="22"/>
          <w:lang w:val="en-US" w:eastAsia="zh-CN"/>
        </w:rPr>
        <w:t xml:space="preserve">      </w:t>
      </w:r>
      <w:r>
        <w:rPr>
          <w:rFonts w:hint="eastAsia" w:ascii="宋体" w:hAnsi="宋体" w:eastAsia="宋体" w:cs="宋体"/>
          <w:szCs w:val="22"/>
        </w:rPr>
        <w:t>B</w:t>
      </w:r>
      <w:r>
        <w:rPr>
          <w:rFonts w:hint="eastAsia" w:ascii="宋体" w:hAnsi="宋体" w:cs="宋体"/>
          <w:szCs w:val="22"/>
          <w:lang w:val="en-US" w:eastAsia="zh-CN"/>
        </w:rPr>
        <w:t>.</w:t>
      </w:r>
      <w:r>
        <w:rPr>
          <w:rFonts w:hint="eastAsia" w:ascii="宋体" w:hAnsi="宋体" w:eastAsia="宋体" w:cs="宋体"/>
          <w:szCs w:val="22"/>
        </w:rPr>
        <w:t xml:space="preserve">后付年金  </w:t>
      </w:r>
      <w:r>
        <w:rPr>
          <w:rFonts w:hint="eastAsia" w:ascii="宋体" w:hAnsi="宋体" w:cs="宋体"/>
          <w:szCs w:val="22"/>
          <w:lang w:val="en-US" w:eastAsia="zh-CN"/>
        </w:rPr>
        <w:t xml:space="preserve">       </w:t>
      </w:r>
      <w:r>
        <w:rPr>
          <w:rFonts w:hint="eastAsia" w:ascii="宋体" w:hAnsi="宋体" w:eastAsia="宋体" w:cs="宋体"/>
          <w:szCs w:val="22"/>
        </w:rPr>
        <w:t>C</w:t>
      </w:r>
      <w:r>
        <w:rPr>
          <w:rFonts w:hint="eastAsia" w:ascii="宋体" w:hAnsi="宋体" w:cs="宋体"/>
          <w:szCs w:val="22"/>
          <w:lang w:val="en-US" w:eastAsia="zh-CN"/>
        </w:rPr>
        <w:t>.</w:t>
      </w:r>
      <w:r>
        <w:rPr>
          <w:rFonts w:hint="eastAsia" w:ascii="宋体" w:hAnsi="宋体" w:eastAsia="宋体" w:cs="宋体"/>
          <w:szCs w:val="22"/>
        </w:rPr>
        <w:t xml:space="preserve">递延年金  </w:t>
      </w:r>
      <w:r>
        <w:rPr>
          <w:rFonts w:hint="eastAsia" w:ascii="宋体" w:hAnsi="宋体" w:cs="宋体"/>
          <w:szCs w:val="22"/>
          <w:lang w:val="en-US" w:eastAsia="zh-CN"/>
        </w:rPr>
        <w:t xml:space="preserve">      </w:t>
      </w:r>
      <w:r>
        <w:rPr>
          <w:rFonts w:hint="eastAsia" w:ascii="宋体" w:hAnsi="宋体" w:eastAsia="宋体" w:cs="宋体"/>
          <w:szCs w:val="22"/>
        </w:rPr>
        <w:t>D</w:t>
      </w:r>
      <w:r>
        <w:rPr>
          <w:rFonts w:hint="eastAsia" w:ascii="宋体" w:hAnsi="宋体" w:cs="宋体"/>
          <w:szCs w:val="22"/>
          <w:lang w:val="en-US" w:eastAsia="zh-CN"/>
        </w:rPr>
        <w:t>.</w:t>
      </w:r>
      <w:r>
        <w:rPr>
          <w:rFonts w:hint="eastAsia" w:ascii="宋体" w:hAnsi="宋体" w:eastAsia="宋体" w:cs="宋体"/>
          <w:szCs w:val="22"/>
        </w:rPr>
        <w:t xml:space="preserve">永续年金 </w:t>
      </w:r>
      <w:r>
        <w:rPr>
          <w:rFonts w:hint="eastAsia" w:ascii="宋体" w:hAnsi="宋体" w:cs="宋体"/>
          <w:szCs w:val="22"/>
          <w:lang w:val="en-US" w:eastAsia="zh-CN"/>
        </w:rPr>
        <w:t xml:space="preserve"> </w:t>
      </w:r>
      <w:r>
        <w:rPr>
          <w:rFonts w:hint="eastAsia" w:ascii="宋体" w:hAnsi="宋体" w:eastAsia="宋体" w:cs="宋体"/>
          <w:szCs w:val="22"/>
        </w:rPr>
        <w:t xml:space="preserve"> E</w:t>
      </w:r>
      <w:r>
        <w:rPr>
          <w:rFonts w:hint="eastAsia" w:ascii="宋体" w:hAnsi="宋体" w:cs="宋体"/>
          <w:szCs w:val="22"/>
          <w:lang w:val="en-US" w:eastAsia="zh-CN"/>
        </w:rPr>
        <w:t>.</w:t>
      </w:r>
      <w:r>
        <w:rPr>
          <w:rFonts w:hint="eastAsia" w:ascii="宋体" w:hAnsi="宋体" w:eastAsia="宋体" w:cs="宋体"/>
          <w:szCs w:val="22"/>
        </w:rPr>
        <w:t>即付年金</w:t>
      </w:r>
    </w:p>
    <w:p>
      <w:pPr>
        <w:tabs>
          <w:tab w:val="left" w:pos="4253"/>
        </w:tabs>
        <w:spacing w:line="400" w:lineRule="atLeast"/>
        <w:rPr>
          <w:rFonts w:hint="eastAsia" w:ascii="宋体" w:hAnsi="宋体" w:eastAsia="宋体" w:cs="宋体"/>
          <w:sz w:val="21"/>
          <w:szCs w:val="21"/>
          <w:lang w:eastAsia="zh-CN"/>
        </w:rPr>
      </w:pPr>
      <w:r>
        <w:rPr>
          <w:rFonts w:hint="eastAsia" w:ascii="宋体" w:hAnsi="宋体" w:eastAsia="宋体" w:cs="宋体"/>
          <w:szCs w:val="22"/>
        </w:rPr>
        <w:t>12.财务预算包括</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tabs>
          <w:tab w:val="left" w:pos="4253"/>
        </w:tabs>
        <w:spacing w:line="400" w:lineRule="atLeast"/>
        <w:rPr>
          <w:rFonts w:hint="eastAsia" w:ascii="宋体" w:hAnsi="宋体" w:eastAsia="宋体" w:cs="宋体"/>
          <w:szCs w:val="22"/>
        </w:rPr>
      </w:pPr>
      <w:r>
        <w:rPr>
          <w:rFonts w:hint="eastAsia" w:ascii="宋体" w:hAnsi="宋体" w:eastAsia="宋体" w:cs="宋体"/>
          <w:szCs w:val="22"/>
        </w:rPr>
        <w:t xml:space="preserve">A.现金预算   </w:t>
      </w:r>
      <w:r>
        <w:rPr>
          <w:rFonts w:hint="eastAsia" w:ascii="宋体" w:hAnsi="宋体" w:cs="宋体"/>
          <w:szCs w:val="22"/>
          <w:lang w:val="en-US" w:eastAsia="zh-CN"/>
        </w:rPr>
        <w:t xml:space="preserve">     </w:t>
      </w:r>
      <w:r>
        <w:rPr>
          <w:rFonts w:hint="eastAsia" w:ascii="宋体" w:hAnsi="宋体" w:eastAsia="宋体" w:cs="宋体"/>
          <w:szCs w:val="22"/>
        </w:rPr>
        <w:t xml:space="preserve">B.预计利润表  </w:t>
      </w:r>
      <w:r>
        <w:rPr>
          <w:rFonts w:hint="eastAsia" w:ascii="宋体" w:hAnsi="宋体" w:cs="宋体"/>
          <w:szCs w:val="22"/>
          <w:lang w:val="en-US" w:eastAsia="zh-CN"/>
        </w:rPr>
        <w:t xml:space="preserve">     </w:t>
      </w:r>
      <w:r>
        <w:rPr>
          <w:rFonts w:hint="eastAsia" w:ascii="宋体" w:hAnsi="宋体" w:eastAsia="宋体" w:cs="宋体"/>
          <w:szCs w:val="22"/>
        </w:rPr>
        <w:t xml:space="preserve">C.预计资产负债表  D.销售预算 </w:t>
      </w:r>
      <w:r>
        <w:rPr>
          <w:rFonts w:hint="eastAsia" w:ascii="宋体" w:hAnsi="宋体" w:cs="宋体"/>
          <w:szCs w:val="22"/>
          <w:lang w:val="en-US" w:eastAsia="zh-CN"/>
        </w:rPr>
        <w:t xml:space="preserve">  </w:t>
      </w:r>
      <w:r>
        <w:rPr>
          <w:rFonts w:hint="eastAsia" w:ascii="宋体" w:hAnsi="宋体" w:eastAsia="宋体" w:cs="宋体"/>
          <w:szCs w:val="22"/>
        </w:rPr>
        <w:t>E</w:t>
      </w:r>
      <w:r>
        <w:rPr>
          <w:rFonts w:hint="eastAsia" w:ascii="宋体" w:hAnsi="宋体" w:cs="宋体"/>
          <w:szCs w:val="22"/>
          <w:lang w:val="en-US" w:eastAsia="zh-CN"/>
        </w:rPr>
        <w:t>.</w:t>
      </w:r>
      <w:r>
        <w:rPr>
          <w:rFonts w:hint="eastAsia" w:ascii="宋体" w:hAnsi="宋体" w:eastAsia="宋体" w:cs="宋体"/>
          <w:szCs w:val="22"/>
        </w:rPr>
        <w:t>材料预算</w:t>
      </w:r>
    </w:p>
    <w:p>
      <w:pPr>
        <w:tabs>
          <w:tab w:val="left" w:pos="4253"/>
        </w:tabs>
        <w:spacing w:line="400" w:lineRule="atLeast"/>
        <w:rPr>
          <w:rFonts w:hint="eastAsia" w:ascii="宋体" w:hAnsi="宋体" w:eastAsia="宋体" w:cs="宋体"/>
          <w:szCs w:val="22"/>
        </w:rPr>
      </w:pPr>
      <w:r>
        <w:rPr>
          <w:rFonts w:hint="eastAsia" w:ascii="宋体" w:hAnsi="宋体" w:eastAsia="宋体" w:cs="宋体"/>
          <w:szCs w:val="22"/>
        </w:rPr>
        <w:t>13.运用存货经济批量模式确定货币资金最佳持有量所考虑的成本有</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tabs>
          <w:tab w:val="left" w:pos="4253"/>
        </w:tabs>
        <w:spacing w:line="400" w:lineRule="atLeast"/>
        <w:rPr>
          <w:rFonts w:hint="eastAsia" w:ascii="宋体" w:hAnsi="宋体" w:eastAsia="宋体" w:cs="宋体"/>
          <w:szCs w:val="22"/>
        </w:rPr>
      </w:pPr>
      <w:r>
        <w:rPr>
          <w:rFonts w:hint="eastAsia" w:ascii="宋体" w:hAnsi="宋体" w:eastAsia="宋体" w:cs="宋体"/>
          <w:szCs w:val="22"/>
        </w:rPr>
        <w:t>A.持有成本</w:t>
      </w:r>
      <w:r>
        <w:rPr>
          <w:rFonts w:hint="eastAsia" w:ascii="宋体" w:hAnsi="宋体" w:cs="宋体"/>
          <w:szCs w:val="22"/>
          <w:lang w:val="en-US" w:eastAsia="zh-CN"/>
        </w:rPr>
        <w:t xml:space="preserve">        </w:t>
      </w:r>
      <w:r>
        <w:rPr>
          <w:rFonts w:hint="eastAsia" w:ascii="宋体" w:hAnsi="宋体" w:eastAsia="宋体" w:cs="宋体"/>
          <w:szCs w:val="22"/>
        </w:rPr>
        <w:t>B.管理成本</w:t>
      </w:r>
      <w:r>
        <w:rPr>
          <w:rFonts w:hint="eastAsia" w:ascii="宋体" w:hAnsi="宋体" w:cs="宋体"/>
          <w:szCs w:val="22"/>
          <w:lang w:val="en-US" w:eastAsia="zh-CN"/>
        </w:rPr>
        <w:t xml:space="preserve">         </w:t>
      </w:r>
      <w:r>
        <w:rPr>
          <w:rFonts w:hint="eastAsia" w:ascii="宋体" w:hAnsi="宋体" w:eastAsia="宋体" w:cs="宋体"/>
          <w:szCs w:val="22"/>
        </w:rPr>
        <w:t>C.缺货成本</w:t>
      </w:r>
      <w:r>
        <w:rPr>
          <w:rFonts w:hint="eastAsia" w:ascii="宋体" w:hAnsi="宋体" w:cs="宋体"/>
          <w:szCs w:val="22"/>
          <w:lang w:val="en-US" w:eastAsia="zh-CN"/>
        </w:rPr>
        <w:t xml:space="preserve">        </w:t>
      </w:r>
      <w:r>
        <w:rPr>
          <w:rFonts w:hint="eastAsia" w:ascii="宋体" w:hAnsi="宋体" w:eastAsia="宋体" w:cs="宋体"/>
          <w:szCs w:val="22"/>
        </w:rPr>
        <w:t>D.转换成本</w:t>
      </w:r>
      <w:r>
        <w:rPr>
          <w:rFonts w:hint="eastAsia" w:ascii="宋体" w:hAnsi="宋体" w:cs="宋体"/>
          <w:szCs w:val="22"/>
          <w:lang w:val="en-US" w:eastAsia="zh-CN"/>
        </w:rPr>
        <w:t xml:space="preserve">   </w:t>
      </w:r>
      <w:r>
        <w:rPr>
          <w:rFonts w:hint="eastAsia" w:ascii="宋体" w:hAnsi="宋体" w:eastAsia="宋体" w:cs="宋体"/>
          <w:szCs w:val="22"/>
        </w:rPr>
        <w:t>E.机会成本</w:t>
      </w:r>
    </w:p>
    <w:p>
      <w:pPr>
        <w:numPr>
          <w:ilvl w:val="0"/>
          <w:numId w:val="4"/>
        </w:numPr>
        <w:tabs>
          <w:tab w:val="left" w:pos="4253"/>
        </w:tabs>
        <w:spacing w:line="400" w:lineRule="atLeast"/>
        <w:rPr>
          <w:rFonts w:hint="eastAsia" w:ascii="宋体" w:hAnsi="宋体" w:eastAsia="宋体" w:cs="宋体"/>
          <w:szCs w:val="22"/>
        </w:rPr>
      </w:pPr>
      <w:r>
        <w:rPr>
          <w:rFonts w:hint="eastAsia" w:ascii="宋体" w:hAnsi="宋体" w:eastAsia="宋体" w:cs="宋体"/>
          <w:szCs w:val="22"/>
        </w:rPr>
        <w:t>下列企业筹资方式中，属于直接筹资方式是</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numPr>
          <w:ilvl w:val="0"/>
          <w:numId w:val="0"/>
        </w:numPr>
        <w:tabs>
          <w:tab w:val="left" w:pos="4253"/>
        </w:tabs>
        <w:spacing w:line="400" w:lineRule="atLeast"/>
        <w:rPr>
          <w:rFonts w:hint="eastAsia" w:ascii="宋体" w:hAnsi="宋体" w:eastAsia="宋体" w:cs="宋体"/>
          <w:szCs w:val="22"/>
        </w:rPr>
      </w:pPr>
      <w:r>
        <w:rPr>
          <w:rFonts w:hint="eastAsia" w:ascii="宋体" w:hAnsi="宋体" w:cs="宋体"/>
          <w:szCs w:val="22"/>
          <w:lang w:val="en-US" w:eastAsia="zh-CN"/>
        </w:rPr>
        <w:t>A.</w:t>
      </w:r>
      <w:r>
        <w:rPr>
          <w:rFonts w:hint="eastAsia" w:ascii="宋体" w:hAnsi="宋体" w:eastAsia="宋体" w:cs="宋体"/>
          <w:szCs w:val="22"/>
        </w:rPr>
        <w:t xml:space="preserve">发现股票  </w:t>
      </w:r>
      <w:r>
        <w:rPr>
          <w:rFonts w:hint="eastAsia" w:ascii="宋体" w:hAnsi="宋体" w:cs="宋体"/>
          <w:szCs w:val="22"/>
          <w:lang w:val="en-US" w:eastAsia="zh-CN"/>
        </w:rPr>
        <w:t xml:space="preserve">      </w:t>
      </w:r>
      <w:r>
        <w:rPr>
          <w:rFonts w:hint="eastAsia" w:ascii="宋体" w:hAnsi="宋体" w:eastAsia="宋体" w:cs="宋体"/>
          <w:szCs w:val="22"/>
        </w:rPr>
        <w:t>B</w:t>
      </w:r>
      <w:r>
        <w:rPr>
          <w:rFonts w:hint="eastAsia" w:ascii="宋体" w:hAnsi="宋体" w:cs="宋体"/>
          <w:szCs w:val="22"/>
          <w:lang w:val="en-US" w:eastAsia="zh-CN"/>
        </w:rPr>
        <w:t>.</w:t>
      </w:r>
      <w:r>
        <w:rPr>
          <w:rFonts w:hint="eastAsia" w:ascii="宋体" w:hAnsi="宋体" w:eastAsia="宋体" w:cs="宋体"/>
          <w:szCs w:val="22"/>
        </w:rPr>
        <w:t xml:space="preserve">银行贷款  </w:t>
      </w:r>
      <w:r>
        <w:rPr>
          <w:rFonts w:hint="eastAsia" w:ascii="宋体" w:hAnsi="宋体" w:cs="宋体"/>
          <w:szCs w:val="22"/>
          <w:lang w:val="en-US" w:eastAsia="zh-CN"/>
        </w:rPr>
        <w:t xml:space="preserve">       </w:t>
      </w:r>
      <w:r>
        <w:rPr>
          <w:rFonts w:hint="eastAsia" w:ascii="宋体" w:hAnsi="宋体" w:eastAsia="宋体" w:cs="宋体"/>
          <w:szCs w:val="22"/>
        </w:rPr>
        <w:t>C</w:t>
      </w:r>
      <w:r>
        <w:rPr>
          <w:rFonts w:hint="eastAsia" w:ascii="宋体" w:hAnsi="宋体" w:cs="宋体"/>
          <w:szCs w:val="22"/>
          <w:lang w:val="en-US" w:eastAsia="zh-CN"/>
        </w:rPr>
        <w:t>.</w:t>
      </w:r>
      <w:r>
        <w:rPr>
          <w:rFonts w:hint="eastAsia" w:ascii="宋体" w:hAnsi="宋体" w:eastAsia="宋体" w:cs="宋体"/>
          <w:szCs w:val="22"/>
        </w:rPr>
        <w:t xml:space="preserve">票据贴现   </w:t>
      </w:r>
      <w:r>
        <w:rPr>
          <w:rFonts w:hint="eastAsia" w:ascii="宋体" w:hAnsi="宋体" w:cs="宋体"/>
          <w:szCs w:val="22"/>
          <w:lang w:val="en-US" w:eastAsia="zh-CN"/>
        </w:rPr>
        <w:t xml:space="preserve">    </w:t>
      </w:r>
      <w:r>
        <w:rPr>
          <w:rFonts w:hint="eastAsia" w:ascii="宋体" w:hAnsi="宋体" w:eastAsia="宋体" w:cs="宋体"/>
          <w:szCs w:val="22"/>
        </w:rPr>
        <w:t>D</w:t>
      </w:r>
      <w:r>
        <w:rPr>
          <w:rFonts w:hint="eastAsia" w:ascii="宋体" w:hAnsi="宋体" w:cs="宋体"/>
          <w:szCs w:val="22"/>
          <w:lang w:val="en-US" w:eastAsia="zh-CN"/>
        </w:rPr>
        <w:t>.</w:t>
      </w:r>
      <w:r>
        <w:rPr>
          <w:rFonts w:hint="eastAsia" w:ascii="宋体" w:hAnsi="宋体" w:eastAsia="宋体" w:cs="宋体"/>
          <w:szCs w:val="22"/>
        </w:rPr>
        <w:t>发行债券E</w:t>
      </w:r>
      <w:r>
        <w:rPr>
          <w:rFonts w:hint="eastAsia" w:ascii="宋体" w:hAnsi="宋体" w:cs="宋体"/>
          <w:szCs w:val="22"/>
          <w:lang w:val="en-US" w:eastAsia="zh-CN"/>
        </w:rPr>
        <w:t>.</w:t>
      </w:r>
      <w:r>
        <w:rPr>
          <w:rFonts w:hint="eastAsia" w:ascii="宋体" w:hAnsi="宋体" w:eastAsia="宋体" w:cs="宋体"/>
          <w:szCs w:val="22"/>
        </w:rPr>
        <w:t>吸收直接投资</w:t>
      </w:r>
    </w:p>
    <w:p>
      <w:pPr>
        <w:tabs>
          <w:tab w:val="left" w:pos="4253"/>
        </w:tabs>
        <w:spacing w:line="400" w:lineRule="atLeast"/>
        <w:rPr>
          <w:rFonts w:hint="eastAsia" w:ascii="宋体" w:hAnsi="宋体" w:eastAsia="宋体" w:cs="宋体"/>
          <w:szCs w:val="22"/>
        </w:rPr>
      </w:pPr>
      <w:r>
        <w:rPr>
          <w:rFonts w:hint="eastAsia" w:ascii="宋体" w:hAnsi="宋体" w:eastAsia="宋体" w:cs="宋体"/>
          <w:szCs w:val="22"/>
        </w:rPr>
        <w:t>15.企业营运资本投资策略包括</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tabs>
          <w:tab w:val="left" w:pos="4253"/>
        </w:tabs>
        <w:spacing w:line="400" w:lineRule="atLeast"/>
        <w:rPr>
          <w:rFonts w:hint="eastAsia" w:ascii="宋体" w:hAnsi="宋体" w:eastAsia="宋体" w:cs="宋体"/>
          <w:szCs w:val="22"/>
        </w:rPr>
      </w:pPr>
      <w:r>
        <w:rPr>
          <w:rFonts w:hint="eastAsia" w:ascii="宋体" w:hAnsi="宋体" w:eastAsia="宋体" w:cs="宋体"/>
          <w:szCs w:val="22"/>
        </w:rPr>
        <w:t>A</w:t>
      </w:r>
      <w:r>
        <w:rPr>
          <w:rFonts w:hint="eastAsia" w:ascii="宋体" w:hAnsi="宋体" w:cs="宋体"/>
          <w:szCs w:val="22"/>
          <w:lang w:val="en-US" w:eastAsia="zh-CN"/>
        </w:rPr>
        <w:t>.</w:t>
      </w:r>
      <w:r>
        <w:rPr>
          <w:rFonts w:hint="eastAsia" w:ascii="宋体" w:hAnsi="宋体" w:eastAsia="宋体" w:cs="宋体"/>
          <w:szCs w:val="22"/>
        </w:rPr>
        <w:t xml:space="preserve">宽松型流动资产投资策略 </w:t>
      </w:r>
      <w:r>
        <w:rPr>
          <w:rFonts w:hint="eastAsia" w:ascii="宋体" w:hAnsi="宋体" w:cs="宋体"/>
          <w:szCs w:val="22"/>
          <w:lang w:val="en-US" w:eastAsia="zh-CN"/>
        </w:rPr>
        <w:t xml:space="preserve">            </w:t>
      </w:r>
      <w:r>
        <w:rPr>
          <w:rFonts w:hint="eastAsia" w:ascii="宋体" w:hAnsi="宋体" w:eastAsia="宋体" w:cs="宋体"/>
          <w:szCs w:val="22"/>
        </w:rPr>
        <w:t>B</w:t>
      </w:r>
      <w:r>
        <w:rPr>
          <w:rFonts w:hint="eastAsia" w:ascii="宋体" w:hAnsi="宋体" w:cs="宋体"/>
          <w:szCs w:val="22"/>
          <w:lang w:val="en-US" w:eastAsia="zh-CN"/>
        </w:rPr>
        <w:t>.</w:t>
      </w:r>
      <w:r>
        <w:rPr>
          <w:rFonts w:hint="eastAsia" w:ascii="宋体" w:hAnsi="宋体" w:eastAsia="宋体" w:cs="宋体"/>
          <w:szCs w:val="22"/>
        </w:rPr>
        <w:t>适中型流动资产投资策略</w:t>
      </w:r>
    </w:p>
    <w:p>
      <w:pPr>
        <w:tabs>
          <w:tab w:val="left" w:pos="4253"/>
        </w:tabs>
        <w:spacing w:line="400" w:lineRule="atLeast"/>
        <w:rPr>
          <w:rFonts w:hint="eastAsia" w:ascii="宋体" w:hAnsi="宋体" w:eastAsia="宋体" w:cs="宋体"/>
          <w:szCs w:val="22"/>
        </w:rPr>
      </w:pPr>
      <w:r>
        <w:rPr>
          <w:rFonts w:hint="eastAsia" w:ascii="宋体" w:hAnsi="宋体" w:eastAsia="宋体" w:cs="宋体"/>
          <w:szCs w:val="22"/>
        </w:rPr>
        <w:t>C</w:t>
      </w:r>
      <w:r>
        <w:rPr>
          <w:rFonts w:hint="eastAsia" w:ascii="宋体" w:hAnsi="宋体" w:cs="宋体"/>
          <w:szCs w:val="22"/>
          <w:lang w:val="en-US" w:eastAsia="zh-CN"/>
        </w:rPr>
        <w:t>.</w:t>
      </w:r>
      <w:r>
        <w:rPr>
          <w:rFonts w:hint="eastAsia" w:ascii="宋体" w:hAnsi="宋体" w:eastAsia="宋体" w:cs="宋体"/>
          <w:szCs w:val="22"/>
        </w:rPr>
        <w:t>紧缩型流动资产投资策略</w:t>
      </w:r>
      <w:r>
        <w:rPr>
          <w:rFonts w:hint="eastAsia" w:ascii="宋体" w:hAnsi="宋体" w:cs="宋体"/>
          <w:szCs w:val="22"/>
          <w:lang w:val="en-US" w:eastAsia="zh-CN"/>
        </w:rPr>
        <w:t xml:space="preserve">             </w:t>
      </w:r>
      <w:r>
        <w:rPr>
          <w:rFonts w:hint="eastAsia" w:ascii="宋体" w:hAnsi="宋体" w:eastAsia="宋体" w:cs="宋体"/>
          <w:szCs w:val="22"/>
        </w:rPr>
        <w:t>D</w:t>
      </w:r>
      <w:r>
        <w:rPr>
          <w:rFonts w:hint="eastAsia" w:ascii="宋体" w:hAnsi="宋体" w:cs="宋体"/>
          <w:szCs w:val="22"/>
          <w:lang w:val="en-US" w:eastAsia="zh-CN"/>
        </w:rPr>
        <w:t>.</w:t>
      </w:r>
      <w:r>
        <w:rPr>
          <w:rFonts w:hint="eastAsia" w:ascii="宋体" w:hAnsi="宋体" w:eastAsia="宋体" w:cs="宋体"/>
          <w:szCs w:val="22"/>
        </w:rPr>
        <w:t xml:space="preserve">稳健型流动资产投资策略   </w:t>
      </w:r>
    </w:p>
    <w:p>
      <w:pPr>
        <w:tabs>
          <w:tab w:val="left" w:pos="4253"/>
        </w:tabs>
        <w:spacing w:line="400" w:lineRule="atLeast"/>
        <w:rPr>
          <w:rFonts w:eastAsia="黑体"/>
          <w:b/>
          <w:szCs w:val="22"/>
        </w:rPr>
      </w:pPr>
      <w:r>
        <w:rPr>
          <w:rFonts w:hint="eastAsia" w:ascii="宋体" w:hAnsi="宋体" w:eastAsia="宋体" w:cs="宋体"/>
          <w:szCs w:val="22"/>
        </w:rPr>
        <w:t>E</w:t>
      </w:r>
      <w:r>
        <w:rPr>
          <w:rFonts w:hint="eastAsia" w:ascii="宋体" w:hAnsi="宋体" w:cs="宋体"/>
          <w:szCs w:val="22"/>
          <w:lang w:val="en-US" w:eastAsia="zh-CN"/>
        </w:rPr>
        <w:t>.</w:t>
      </w:r>
      <w:r>
        <w:rPr>
          <w:rFonts w:hint="eastAsia" w:ascii="宋体" w:hAnsi="宋体" w:eastAsia="宋体" w:cs="宋体"/>
          <w:szCs w:val="22"/>
        </w:rPr>
        <w:t xml:space="preserve">激进型流动资产投资策略 </w:t>
      </w:r>
    </w:p>
    <w:p>
      <w:pPr>
        <w:tabs>
          <w:tab w:val="left" w:pos="4253"/>
        </w:tabs>
        <w:spacing w:line="400" w:lineRule="atLeast"/>
        <w:rPr>
          <w:rFonts w:eastAsia="黑体"/>
          <w:b/>
          <w:szCs w:val="22"/>
        </w:rPr>
      </w:pPr>
      <w:r>
        <w:rPr>
          <w:rFonts w:hint="eastAsia" w:eastAsia="黑体"/>
          <w:b/>
          <w:szCs w:val="22"/>
        </w:rPr>
        <w:t>三、简答题</w:t>
      </w:r>
    </w:p>
    <w:p>
      <w:pPr>
        <w:tabs>
          <w:tab w:val="left" w:pos="4253"/>
        </w:tabs>
        <w:spacing w:line="400" w:lineRule="atLeast"/>
        <w:rPr>
          <w:rFonts w:hint="eastAsia" w:ascii="宋体" w:hAnsi="宋体" w:eastAsia="宋体" w:cs="宋体"/>
          <w:szCs w:val="22"/>
        </w:rPr>
      </w:pPr>
      <w:r>
        <w:rPr>
          <w:rFonts w:hint="eastAsia" w:ascii="宋体" w:hAnsi="宋体" w:eastAsia="宋体" w:cs="宋体"/>
          <w:szCs w:val="22"/>
        </w:rPr>
        <w:t>16</w:t>
      </w:r>
      <w:r>
        <w:rPr>
          <w:rFonts w:hint="eastAsia" w:ascii="宋体" w:hAnsi="宋体" w:cs="宋体"/>
          <w:szCs w:val="22"/>
          <w:lang w:val="en-US" w:eastAsia="zh-CN"/>
        </w:rPr>
        <w:t xml:space="preserve">. </w:t>
      </w:r>
      <w:r>
        <w:rPr>
          <w:rFonts w:hint="eastAsia" w:ascii="宋体" w:hAnsi="宋体" w:eastAsia="宋体" w:cs="宋体"/>
          <w:szCs w:val="22"/>
        </w:rPr>
        <w:t>简述金融市场的含义及分类。</w:t>
      </w:r>
    </w:p>
    <w:p>
      <w:pPr>
        <w:tabs>
          <w:tab w:val="left" w:pos="4111"/>
        </w:tabs>
        <w:snapToGrid w:val="0"/>
        <w:spacing w:line="400" w:lineRule="atLeast"/>
        <w:rPr>
          <w:rFonts w:hint="eastAsia" w:ascii="宋体" w:hAnsi="宋体" w:eastAsia="宋体" w:cs="宋体"/>
          <w:szCs w:val="22"/>
        </w:rPr>
      </w:pPr>
      <w:r>
        <w:rPr>
          <w:rFonts w:hint="eastAsia" w:ascii="宋体" w:hAnsi="宋体" w:eastAsia="宋体" w:cs="宋体"/>
          <w:szCs w:val="22"/>
        </w:rPr>
        <w:t>17．简述低正常股利加额外股利政策的意义。</w:t>
      </w:r>
    </w:p>
    <w:p>
      <w:pPr>
        <w:tabs>
          <w:tab w:val="left" w:pos="4111"/>
        </w:tabs>
        <w:snapToGrid w:val="0"/>
        <w:spacing w:line="400" w:lineRule="atLeast"/>
        <w:rPr>
          <w:rFonts w:hint="eastAsia" w:ascii="宋体" w:hAnsi="宋体" w:eastAsia="宋体" w:cs="宋体"/>
          <w:szCs w:val="22"/>
        </w:rPr>
      </w:pPr>
      <w:r>
        <w:rPr>
          <w:rFonts w:hint="eastAsia" w:ascii="宋体" w:hAnsi="宋体" w:eastAsia="宋体" w:cs="宋体"/>
          <w:szCs w:val="22"/>
        </w:rPr>
        <w:t>18．简述长期借款筹资的优缺点。</w:t>
      </w:r>
    </w:p>
    <w:p>
      <w:pPr>
        <w:numPr>
          <w:ilvl w:val="0"/>
          <w:numId w:val="5"/>
        </w:numPr>
        <w:tabs>
          <w:tab w:val="left" w:pos="4111"/>
        </w:tabs>
        <w:snapToGrid w:val="0"/>
        <w:spacing w:line="400" w:lineRule="atLeast"/>
        <w:rPr>
          <w:rFonts w:hint="eastAsia" w:ascii="宋体" w:hAnsi="宋体" w:eastAsia="宋体" w:cs="宋体"/>
          <w:szCs w:val="22"/>
        </w:rPr>
      </w:pPr>
      <w:r>
        <w:rPr>
          <w:rFonts w:hint="eastAsia" w:ascii="宋体" w:hAnsi="宋体" w:eastAsia="宋体" w:cs="宋体"/>
          <w:szCs w:val="22"/>
        </w:rPr>
        <w:t>利率的构成要素包括哪些?</w:t>
      </w:r>
    </w:p>
    <w:p>
      <w:pPr>
        <w:tabs>
          <w:tab w:val="left" w:pos="4253"/>
        </w:tabs>
        <w:spacing w:line="420" w:lineRule="atLeast"/>
        <w:jc w:val="center"/>
        <w:rPr>
          <w:rFonts w:ascii="黑体" w:eastAsia="黑体"/>
          <w:szCs w:val="22"/>
        </w:rPr>
      </w:pPr>
      <w:r>
        <w:rPr>
          <w:rFonts w:hint="eastAsia" w:ascii="黑体" w:eastAsia="黑体"/>
          <w:szCs w:val="22"/>
        </w:rPr>
        <w:t>四、计算题</w:t>
      </w:r>
      <w:r>
        <w:rPr>
          <w:rFonts w:hint="eastAsia" w:ascii="黑体" w:eastAsia="黑体"/>
          <w:szCs w:val="22"/>
          <w:lang w:eastAsia="zh-CN"/>
        </w:rPr>
        <w:t>，</w:t>
      </w:r>
      <w:r>
        <w:rPr>
          <w:rFonts w:hint="eastAsia" w:ascii="黑体" w:eastAsia="黑体"/>
          <w:szCs w:val="22"/>
        </w:rPr>
        <w:t>计算题可能用到的复利现值系数和年金现值系数</w:t>
      </w:r>
    </w:p>
    <w:p>
      <w:pPr>
        <w:tabs>
          <w:tab w:val="left" w:pos="4253"/>
        </w:tabs>
        <w:spacing w:line="420" w:lineRule="atLeast"/>
        <w:jc w:val="center"/>
        <w:rPr>
          <w:rFonts w:ascii="黑体" w:eastAsia="黑体"/>
          <w:szCs w:val="22"/>
        </w:rPr>
      </w:pPr>
    </w:p>
    <w:tbl>
      <w:tblPr>
        <w:tblStyle w:val="4"/>
        <w:tblW w:w="66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6"/>
        <w:gridCol w:w="846"/>
        <w:gridCol w:w="846"/>
        <w:gridCol w:w="846"/>
        <w:gridCol w:w="846"/>
        <w:gridCol w:w="879"/>
        <w:gridCol w:w="8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1526" w:type="dxa"/>
            <w:tcBorders>
              <w:top w:val="single" w:color="000000" w:sz="4" w:space="0"/>
              <w:left w:val="nil"/>
              <w:bottom w:val="single" w:color="000000" w:sz="4" w:space="0"/>
              <w:right w:val="single" w:color="000000" w:sz="4" w:space="0"/>
            </w:tcBorders>
          </w:tcPr>
          <w:p>
            <w:pPr>
              <w:spacing w:line="420" w:lineRule="atLeast"/>
              <w:rPr>
                <w:rFonts w:ascii="黑体" w:eastAsia="黑体"/>
                <w:i/>
                <w:szCs w:val="22"/>
              </w:rPr>
            </w:pPr>
            <w:r>
              <w:rPr>
                <w:rFonts w:hint="eastAsia" w:ascii="黑体" w:eastAsia="黑体"/>
                <w:i/>
                <w:szCs w:val="22"/>
              </w:rPr>
              <w:t>n</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1</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2</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3</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4</w:t>
            </w:r>
          </w:p>
        </w:tc>
        <w:tc>
          <w:tcPr>
            <w:tcW w:w="879"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5</w:t>
            </w:r>
          </w:p>
        </w:tc>
        <w:tc>
          <w:tcPr>
            <w:tcW w:w="846" w:type="dxa"/>
            <w:tcBorders>
              <w:top w:val="single" w:color="000000" w:sz="4" w:space="0"/>
              <w:left w:val="single" w:color="000000" w:sz="4" w:space="0"/>
              <w:bottom w:val="single" w:color="000000" w:sz="4" w:space="0"/>
              <w:right w:val="nil"/>
            </w:tcBorders>
          </w:tcPr>
          <w:p>
            <w:pPr>
              <w:spacing w:line="420" w:lineRule="atLeast"/>
              <w:rPr>
                <w:rFonts w:ascii="黑体" w:eastAsia="黑体"/>
                <w:szCs w:val="22"/>
              </w:rPr>
            </w:pPr>
            <w:r>
              <w:rPr>
                <w:rFonts w:hint="eastAsia" w:ascii="黑体" w:eastAsia="黑体"/>
                <w:szCs w:val="22"/>
              </w:rPr>
              <w:t>6</w:t>
            </w:r>
            <w:r>
              <w:rPr>
                <w:rFonts w:hint="eastAsia" w:ascii="黑体" w:hAnsi="黑体" w:eastAsia="黑体" w:cs="黑体"/>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jc w:val="center"/>
        </w:trPr>
        <w:tc>
          <w:tcPr>
            <w:tcW w:w="1526" w:type="dxa"/>
            <w:tcBorders>
              <w:top w:val="single" w:color="000000" w:sz="4" w:space="0"/>
              <w:left w:val="nil"/>
              <w:bottom w:val="single" w:color="000000" w:sz="4" w:space="0"/>
              <w:right w:val="single" w:color="000000" w:sz="4" w:space="0"/>
            </w:tcBorders>
          </w:tcPr>
          <w:p>
            <w:pPr>
              <w:spacing w:line="420" w:lineRule="atLeast"/>
              <w:rPr>
                <w:rFonts w:ascii="黑体" w:eastAsia="黑体"/>
                <w:i/>
                <w:szCs w:val="22"/>
              </w:rPr>
            </w:pPr>
            <w:r>
              <w:rPr>
                <w:rFonts w:hint="eastAsia" w:ascii="黑体" w:eastAsia="黑体"/>
                <w:i/>
                <w:szCs w:val="22"/>
              </w:rPr>
              <w:t>PVIF</w:t>
            </w:r>
            <w:r>
              <w:rPr>
                <w:rFonts w:hint="eastAsia" w:ascii="黑体" w:eastAsia="黑体"/>
                <w:szCs w:val="22"/>
                <w:vertAlign w:val="subscript"/>
              </w:rPr>
              <w:t>8％</w:t>
            </w:r>
            <w:r>
              <w:rPr>
                <w:rFonts w:hint="eastAsia" w:ascii="黑体" w:eastAsia="黑体"/>
                <w:i/>
                <w:szCs w:val="22"/>
              </w:rPr>
              <w:t>，</w:t>
            </w:r>
            <w:r>
              <w:rPr>
                <w:rFonts w:hint="eastAsia" w:ascii="黑体" w:eastAsia="黑体"/>
                <w:i/>
                <w:szCs w:val="22"/>
                <w:vertAlign w:val="subscript"/>
              </w:rPr>
              <w:t>n</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0．926</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0．857</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0．794</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0．735</w:t>
            </w:r>
          </w:p>
        </w:tc>
        <w:tc>
          <w:tcPr>
            <w:tcW w:w="879"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0．681</w:t>
            </w:r>
          </w:p>
        </w:tc>
        <w:tc>
          <w:tcPr>
            <w:tcW w:w="846" w:type="dxa"/>
            <w:tcBorders>
              <w:top w:val="single" w:color="000000" w:sz="4" w:space="0"/>
              <w:left w:val="single" w:color="000000" w:sz="4" w:space="0"/>
              <w:bottom w:val="single" w:color="000000" w:sz="4" w:space="0"/>
              <w:right w:val="nil"/>
            </w:tcBorders>
          </w:tcPr>
          <w:p>
            <w:pPr>
              <w:spacing w:line="420" w:lineRule="atLeast"/>
              <w:rPr>
                <w:rFonts w:ascii="黑体" w:eastAsia="黑体"/>
                <w:szCs w:val="22"/>
              </w:rPr>
            </w:pPr>
            <w:r>
              <w:rPr>
                <w:rFonts w:hint="eastAsia" w:ascii="黑体" w:eastAsia="黑体"/>
                <w:szCs w:val="22"/>
              </w:rPr>
              <w:t>0．630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1526" w:type="dxa"/>
            <w:tcBorders>
              <w:top w:val="single" w:color="000000" w:sz="4" w:space="0"/>
              <w:left w:val="nil"/>
              <w:bottom w:val="single" w:color="000000" w:sz="4" w:space="0"/>
              <w:right w:val="single" w:color="000000" w:sz="4" w:space="0"/>
            </w:tcBorders>
          </w:tcPr>
          <w:p>
            <w:pPr>
              <w:spacing w:line="420" w:lineRule="atLeast"/>
              <w:rPr>
                <w:rFonts w:ascii="黑体" w:eastAsia="黑体"/>
                <w:i/>
                <w:szCs w:val="22"/>
              </w:rPr>
            </w:pPr>
            <w:r>
              <w:rPr>
                <w:rFonts w:hint="eastAsia" w:ascii="黑体" w:eastAsia="黑体"/>
                <w:i/>
                <w:szCs w:val="22"/>
              </w:rPr>
              <w:t>PVIFA</w:t>
            </w:r>
            <w:r>
              <w:rPr>
                <w:rFonts w:hint="eastAsia" w:ascii="黑体" w:eastAsia="黑体"/>
                <w:szCs w:val="22"/>
                <w:vertAlign w:val="subscript"/>
              </w:rPr>
              <w:t>8％</w:t>
            </w:r>
            <w:r>
              <w:rPr>
                <w:rFonts w:hint="eastAsia" w:ascii="黑体" w:eastAsia="黑体"/>
                <w:i/>
                <w:szCs w:val="22"/>
              </w:rPr>
              <w:t>，</w:t>
            </w:r>
            <w:r>
              <w:rPr>
                <w:rFonts w:hint="eastAsia" w:ascii="黑体" w:eastAsia="黑体"/>
                <w:i/>
                <w:szCs w:val="22"/>
                <w:vertAlign w:val="subscript"/>
              </w:rPr>
              <w:t>n</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0．926</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1．783</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2．577</w:t>
            </w:r>
          </w:p>
        </w:tc>
        <w:tc>
          <w:tcPr>
            <w:tcW w:w="846"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3．312</w:t>
            </w:r>
          </w:p>
        </w:tc>
        <w:tc>
          <w:tcPr>
            <w:tcW w:w="879" w:type="dxa"/>
            <w:tcBorders>
              <w:top w:val="single" w:color="000000" w:sz="4" w:space="0"/>
              <w:left w:val="single" w:color="000000" w:sz="4" w:space="0"/>
              <w:bottom w:val="single" w:color="000000" w:sz="4" w:space="0"/>
              <w:right w:val="single" w:color="000000" w:sz="4" w:space="0"/>
            </w:tcBorders>
          </w:tcPr>
          <w:p>
            <w:pPr>
              <w:spacing w:line="420" w:lineRule="atLeast"/>
              <w:rPr>
                <w:rFonts w:ascii="黑体" w:eastAsia="黑体"/>
                <w:szCs w:val="22"/>
              </w:rPr>
            </w:pPr>
            <w:r>
              <w:rPr>
                <w:rFonts w:hint="eastAsia" w:ascii="黑体" w:eastAsia="黑体"/>
                <w:szCs w:val="22"/>
              </w:rPr>
              <w:t>3．993</w:t>
            </w:r>
          </w:p>
        </w:tc>
        <w:tc>
          <w:tcPr>
            <w:tcW w:w="846" w:type="dxa"/>
            <w:tcBorders>
              <w:top w:val="single" w:color="000000" w:sz="4" w:space="0"/>
              <w:left w:val="single" w:color="000000" w:sz="4" w:space="0"/>
              <w:bottom w:val="single" w:color="000000" w:sz="4" w:space="0"/>
              <w:right w:val="nil"/>
            </w:tcBorders>
          </w:tcPr>
          <w:p>
            <w:pPr>
              <w:spacing w:line="420" w:lineRule="atLeast"/>
              <w:rPr>
                <w:rFonts w:ascii="黑体" w:eastAsia="黑体"/>
                <w:szCs w:val="22"/>
              </w:rPr>
            </w:pPr>
            <w:r>
              <w:rPr>
                <w:rFonts w:hint="eastAsia" w:ascii="黑体" w:eastAsia="黑体"/>
                <w:szCs w:val="22"/>
              </w:rPr>
              <w:t>4．623</w:t>
            </w:r>
          </w:p>
        </w:tc>
      </w:tr>
    </w:tbl>
    <w:p>
      <w:pPr>
        <w:tabs>
          <w:tab w:val="left" w:pos="4253"/>
        </w:tabs>
        <w:spacing w:line="400" w:lineRule="atLeast"/>
        <w:rPr>
          <w:rFonts w:hint="eastAsia" w:ascii="宋体" w:hAnsi="宋体" w:eastAsia="宋体" w:cs="宋体"/>
          <w:sz w:val="21"/>
          <w:szCs w:val="21"/>
        </w:rPr>
      </w:pP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20．刘女士拟购100平方米的住房一套。该房屋目前市场价格为1.8万元／平方米。开发商提出了两种付款方案：</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方案一：现在一次性付款180万元；</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方案二：分期付款，首付57万元，然后分6年每年年末支付27万元。</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要求：假设年利率为8％，计算说明哪种付款方案对刘女士较为有利。</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(计算结果保留小数点后2位)</w:t>
      </w:r>
    </w:p>
    <w:p>
      <w:pPr>
        <w:tabs>
          <w:tab w:val="left" w:pos="4253"/>
        </w:tabs>
        <w:spacing w:line="400" w:lineRule="atLeast"/>
        <w:rPr>
          <w:rFonts w:hint="eastAsia" w:ascii="宋体" w:hAnsi="宋体" w:eastAsia="宋体" w:cs="宋体"/>
          <w:sz w:val="21"/>
          <w:szCs w:val="21"/>
        </w:rPr>
      </w:pP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21.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A公司资产总额为6 000万元，资产负债率为50％，债务平均年利息率为10％，该</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企业的息税前利润为1 000万元。</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要求：(1)计算该公司债务年利息；</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(2)计算该公司的财务杠杆系数。</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(计算结果保留小数点后2位)</w:t>
      </w:r>
    </w:p>
    <w:p>
      <w:pPr>
        <w:tabs>
          <w:tab w:val="left" w:pos="4253"/>
        </w:tabs>
        <w:spacing w:line="400" w:lineRule="atLeast"/>
        <w:rPr>
          <w:rFonts w:hint="eastAsia" w:ascii="宋体" w:hAnsi="宋体" w:eastAsia="宋体" w:cs="宋体"/>
          <w:sz w:val="21"/>
          <w:szCs w:val="21"/>
        </w:rPr>
      </w:pP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22．B公司于2008年3月1日发行债券，该债券的面值为1 000元，期限5年，票面利</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率为7％，单利计息，到期一次还本付息。发行时市场利率为8％。</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要求：(1)计算该债券到期本利和；</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(2)计算该债券发行价格；</w:t>
      </w:r>
    </w:p>
    <w:p>
      <w:pPr>
        <w:tabs>
          <w:tab w:val="left" w:pos="4111"/>
        </w:tabs>
        <w:snapToGrid w:val="0"/>
        <w:spacing w:line="400" w:lineRule="atLeast"/>
        <w:rPr>
          <w:rFonts w:hint="eastAsia" w:ascii="宋体" w:hAnsi="宋体" w:eastAsia="宋体" w:cs="宋体"/>
          <w:b/>
          <w:sz w:val="21"/>
          <w:szCs w:val="21"/>
        </w:rPr>
      </w:pPr>
    </w:p>
    <w:p>
      <w:pPr>
        <w:tabs>
          <w:tab w:val="left" w:pos="4111"/>
        </w:tabs>
        <w:snapToGrid w:val="0"/>
        <w:spacing w:line="400" w:lineRule="atLeast"/>
        <w:ind w:left="420" w:hanging="420" w:hangingChars="200"/>
        <w:rPr>
          <w:rFonts w:hint="eastAsia" w:ascii="宋体" w:hAnsi="宋体" w:eastAsia="宋体" w:cs="宋体"/>
          <w:sz w:val="21"/>
          <w:szCs w:val="21"/>
        </w:rPr>
      </w:pPr>
      <w:r>
        <w:rPr>
          <w:rFonts w:hint="eastAsia" w:ascii="宋体" w:hAnsi="宋体" w:eastAsia="宋体" w:cs="宋体"/>
          <w:sz w:val="21"/>
          <w:szCs w:val="21"/>
        </w:rPr>
        <w:t>23．某投资方案预计现金净流量如下表所示。企业要求的投资回收期为4年。该项目适用的贴现率为8%。</w:t>
      </w:r>
    </w:p>
    <w:p>
      <w:pPr>
        <w:tabs>
          <w:tab w:val="left" w:pos="4111"/>
        </w:tabs>
        <w:snapToGrid w:val="0"/>
        <w:spacing w:line="400" w:lineRule="atLeast"/>
        <w:ind w:firstLine="6825" w:firstLineChars="3250"/>
        <w:rPr>
          <w:rFonts w:hint="eastAsia" w:ascii="宋体" w:hAnsi="宋体" w:eastAsia="宋体" w:cs="宋体"/>
          <w:sz w:val="21"/>
          <w:szCs w:val="21"/>
        </w:rPr>
      </w:pPr>
      <w:r>
        <w:rPr>
          <w:rFonts w:hint="eastAsia" w:ascii="宋体" w:hAnsi="宋体" w:eastAsia="宋体" w:cs="宋体"/>
          <w:sz w:val="21"/>
          <w:szCs w:val="21"/>
        </w:rPr>
        <w:t>单位：万元</w:t>
      </w:r>
    </w:p>
    <w:tbl>
      <w:tblPr>
        <w:tblStyle w:val="4"/>
        <w:tblW w:w="7512" w:type="dxa"/>
        <w:tblInd w:w="5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73"/>
        <w:gridCol w:w="1073"/>
        <w:gridCol w:w="1073"/>
        <w:gridCol w:w="1073"/>
        <w:gridCol w:w="1073"/>
        <w:gridCol w:w="1073"/>
        <w:gridCol w:w="10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73" w:type="dxa"/>
            <w:tcBorders>
              <w:top w:val="single" w:color="auto" w:sz="6" w:space="0"/>
              <w:left w:val="nil"/>
              <w:bottom w:val="single" w:color="000000" w:sz="4"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年份</w:t>
            </w:r>
          </w:p>
        </w:tc>
        <w:tc>
          <w:tcPr>
            <w:tcW w:w="1073" w:type="dxa"/>
            <w:tcBorders>
              <w:top w:val="single" w:color="auto" w:sz="6" w:space="0"/>
              <w:left w:val="single" w:color="000000" w:sz="4" w:space="0"/>
              <w:bottom w:val="single" w:color="000000" w:sz="4"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0</w:t>
            </w:r>
          </w:p>
        </w:tc>
        <w:tc>
          <w:tcPr>
            <w:tcW w:w="1073" w:type="dxa"/>
            <w:tcBorders>
              <w:top w:val="single" w:color="auto" w:sz="6" w:space="0"/>
              <w:left w:val="single" w:color="000000" w:sz="4" w:space="0"/>
              <w:bottom w:val="single" w:color="000000" w:sz="4"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1</w:t>
            </w:r>
          </w:p>
        </w:tc>
        <w:tc>
          <w:tcPr>
            <w:tcW w:w="1073" w:type="dxa"/>
            <w:tcBorders>
              <w:top w:val="single" w:color="auto" w:sz="6" w:space="0"/>
              <w:left w:val="single" w:color="000000" w:sz="4" w:space="0"/>
              <w:bottom w:val="single" w:color="000000" w:sz="4"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2</w:t>
            </w:r>
          </w:p>
        </w:tc>
        <w:tc>
          <w:tcPr>
            <w:tcW w:w="1073" w:type="dxa"/>
            <w:tcBorders>
              <w:top w:val="single" w:color="auto" w:sz="6" w:space="0"/>
              <w:left w:val="single" w:color="000000" w:sz="4" w:space="0"/>
              <w:bottom w:val="single" w:color="000000" w:sz="4"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3</w:t>
            </w:r>
          </w:p>
        </w:tc>
        <w:tc>
          <w:tcPr>
            <w:tcW w:w="1073" w:type="dxa"/>
            <w:tcBorders>
              <w:top w:val="single" w:color="auto" w:sz="6" w:space="0"/>
              <w:left w:val="single" w:color="000000" w:sz="4" w:space="0"/>
              <w:bottom w:val="single" w:color="000000" w:sz="4"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4</w:t>
            </w:r>
          </w:p>
        </w:tc>
        <w:tc>
          <w:tcPr>
            <w:tcW w:w="1074" w:type="dxa"/>
            <w:tcBorders>
              <w:top w:val="single" w:color="auto" w:sz="6" w:space="0"/>
              <w:left w:val="single" w:color="000000" w:sz="4" w:space="0"/>
              <w:bottom w:val="single" w:color="000000" w:sz="4" w:space="0"/>
              <w:right w:val="nil"/>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73" w:type="dxa"/>
            <w:tcBorders>
              <w:top w:val="single" w:color="000000" w:sz="4" w:space="0"/>
              <w:left w:val="nil"/>
              <w:bottom w:val="single" w:color="auto" w:sz="6"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NCF</w:t>
            </w:r>
          </w:p>
        </w:tc>
        <w:tc>
          <w:tcPr>
            <w:tcW w:w="1073" w:type="dxa"/>
            <w:tcBorders>
              <w:top w:val="single" w:color="000000" w:sz="4" w:space="0"/>
              <w:left w:val="single" w:color="000000" w:sz="4" w:space="0"/>
              <w:bottom w:val="single" w:color="auto" w:sz="6"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—300</w:t>
            </w:r>
          </w:p>
        </w:tc>
        <w:tc>
          <w:tcPr>
            <w:tcW w:w="1073" w:type="dxa"/>
            <w:tcBorders>
              <w:top w:val="single" w:color="000000" w:sz="4" w:space="0"/>
              <w:left w:val="single" w:color="000000" w:sz="4" w:space="0"/>
              <w:bottom w:val="single" w:color="auto" w:sz="6"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80</w:t>
            </w:r>
          </w:p>
        </w:tc>
        <w:tc>
          <w:tcPr>
            <w:tcW w:w="1073" w:type="dxa"/>
            <w:tcBorders>
              <w:top w:val="single" w:color="000000" w:sz="4" w:space="0"/>
              <w:left w:val="single" w:color="000000" w:sz="4" w:space="0"/>
              <w:bottom w:val="single" w:color="auto" w:sz="6"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80</w:t>
            </w:r>
          </w:p>
        </w:tc>
        <w:tc>
          <w:tcPr>
            <w:tcW w:w="1073" w:type="dxa"/>
            <w:tcBorders>
              <w:top w:val="single" w:color="000000" w:sz="4" w:space="0"/>
              <w:left w:val="single" w:color="000000" w:sz="4" w:space="0"/>
              <w:bottom w:val="single" w:color="auto" w:sz="6"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80</w:t>
            </w:r>
          </w:p>
        </w:tc>
        <w:tc>
          <w:tcPr>
            <w:tcW w:w="1073" w:type="dxa"/>
            <w:tcBorders>
              <w:top w:val="single" w:color="000000" w:sz="4" w:space="0"/>
              <w:left w:val="single" w:color="000000" w:sz="4" w:space="0"/>
              <w:bottom w:val="single" w:color="auto" w:sz="6" w:space="0"/>
              <w:right w:val="single" w:color="000000" w:sz="4" w:space="0"/>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80</w:t>
            </w:r>
          </w:p>
        </w:tc>
        <w:tc>
          <w:tcPr>
            <w:tcW w:w="1074" w:type="dxa"/>
            <w:tcBorders>
              <w:top w:val="single" w:color="000000" w:sz="4" w:space="0"/>
              <w:left w:val="single" w:color="000000" w:sz="4" w:space="0"/>
              <w:bottom w:val="single" w:color="auto" w:sz="6" w:space="0"/>
              <w:right w:val="nil"/>
            </w:tcBorders>
            <w:vAlign w:val="center"/>
          </w:tcPr>
          <w:p>
            <w:pPr>
              <w:snapToGrid w:val="0"/>
              <w:spacing w:line="400" w:lineRule="atLeast"/>
              <w:jc w:val="center"/>
              <w:rPr>
                <w:rFonts w:hint="eastAsia" w:ascii="宋体" w:hAnsi="宋体" w:eastAsia="宋体" w:cs="宋体"/>
                <w:sz w:val="21"/>
                <w:szCs w:val="21"/>
              </w:rPr>
            </w:pPr>
            <w:r>
              <w:rPr>
                <w:rFonts w:hint="eastAsia" w:ascii="宋体" w:hAnsi="宋体" w:eastAsia="宋体" w:cs="宋体"/>
                <w:sz w:val="21"/>
                <w:szCs w:val="21"/>
              </w:rPr>
              <w:t>100</w:t>
            </w:r>
          </w:p>
        </w:tc>
      </w:tr>
    </w:tbl>
    <w:p>
      <w:pPr>
        <w:tabs>
          <w:tab w:val="left" w:pos="4111"/>
        </w:tabs>
        <w:snapToGrid w:val="0"/>
        <w:spacing w:line="400" w:lineRule="atLeast"/>
        <w:ind w:firstLine="420" w:firstLineChars="200"/>
        <w:rPr>
          <w:rFonts w:hint="eastAsia" w:ascii="宋体" w:hAnsi="宋体" w:eastAsia="宋体" w:cs="宋体"/>
          <w:sz w:val="21"/>
          <w:szCs w:val="21"/>
        </w:rPr>
      </w:pPr>
      <w:r>
        <w:rPr>
          <w:rFonts w:hint="eastAsia" w:ascii="宋体" w:hAnsi="宋体" w:eastAsia="宋体" w:cs="宋体"/>
          <w:sz w:val="21"/>
          <w:szCs w:val="21"/>
        </w:rPr>
        <w:t>要求：(1)计算该投资方案的净现值；</w:t>
      </w:r>
    </w:p>
    <w:p>
      <w:pPr>
        <w:tabs>
          <w:tab w:val="left" w:pos="4111"/>
        </w:tabs>
        <w:snapToGrid w:val="0"/>
        <w:spacing w:line="400" w:lineRule="atLeast"/>
        <w:ind w:firstLine="1050" w:firstLineChars="500"/>
        <w:rPr>
          <w:rFonts w:hint="eastAsia" w:ascii="宋体" w:hAnsi="宋体" w:eastAsia="宋体" w:cs="宋体"/>
          <w:sz w:val="21"/>
          <w:szCs w:val="21"/>
        </w:rPr>
      </w:pPr>
      <w:r>
        <w:rPr>
          <w:rFonts w:hint="eastAsia" w:ascii="宋体" w:hAnsi="宋体" w:eastAsia="宋体" w:cs="宋体"/>
          <w:sz w:val="21"/>
          <w:szCs w:val="21"/>
        </w:rPr>
        <w:t>(2)计算该投资方案的获利指数；</w:t>
      </w:r>
    </w:p>
    <w:p>
      <w:pPr>
        <w:tabs>
          <w:tab w:val="left" w:pos="4111"/>
        </w:tabs>
        <w:snapToGrid w:val="0"/>
        <w:spacing w:line="400" w:lineRule="atLeast"/>
        <w:ind w:firstLine="1050" w:firstLineChars="500"/>
        <w:rPr>
          <w:rFonts w:hint="eastAsia" w:ascii="宋体" w:hAnsi="宋体" w:eastAsia="宋体" w:cs="宋体"/>
          <w:sz w:val="21"/>
          <w:szCs w:val="21"/>
        </w:rPr>
      </w:pPr>
      <w:r>
        <w:rPr>
          <w:rFonts w:hint="eastAsia" w:ascii="宋体" w:hAnsi="宋体" w:eastAsia="宋体" w:cs="宋体"/>
          <w:sz w:val="21"/>
          <w:szCs w:val="21"/>
        </w:rPr>
        <w:t>(3)计算该投资方案的投资回收期；</w:t>
      </w:r>
    </w:p>
    <w:p>
      <w:pPr>
        <w:tabs>
          <w:tab w:val="left" w:pos="4111"/>
        </w:tabs>
        <w:snapToGrid w:val="0"/>
        <w:spacing w:line="400" w:lineRule="atLeast"/>
        <w:ind w:firstLine="1050" w:firstLineChars="500"/>
        <w:rPr>
          <w:rFonts w:hint="eastAsia" w:ascii="宋体" w:hAnsi="宋体" w:eastAsia="宋体" w:cs="宋体"/>
          <w:sz w:val="21"/>
          <w:szCs w:val="21"/>
        </w:rPr>
      </w:pPr>
      <w:r>
        <w:rPr>
          <w:rFonts w:hint="eastAsia" w:ascii="宋体" w:hAnsi="宋体" w:eastAsia="宋体" w:cs="宋体"/>
          <w:sz w:val="21"/>
          <w:szCs w:val="21"/>
        </w:rPr>
        <w:t>(4)根据上述计算结果评价该投资方案的财务可行性。</w:t>
      </w:r>
    </w:p>
    <w:p>
      <w:pPr>
        <w:tabs>
          <w:tab w:val="left" w:pos="4111"/>
        </w:tabs>
        <w:snapToGrid w:val="0"/>
        <w:spacing w:line="400" w:lineRule="atLeast"/>
        <w:ind w:firstLine="945" w:firstLineChars="450"/>
        <w:rPr>
          <w:rFonts w:hint="eastAsia" w:ascii="宋体" w:hAnsi="宋体" w:eastAsia="宋体" w:cs="宋体"/>
          <w:sz w:val="21"/>
          <w:szCs w:val="21"/>
        </w:rPr>
      </w:pPr>
      <w:r>
        <w:rPr>
          <w:rFonts w:hint="eastAsia" w:ascii="宋体" w:hAnsi="宋体" w:eastAsia="宋体" w:cs="宋体"/>
          <w:sz w:val="21"/>
          <w:szCs w:val="21"/>
        </w:rPr>
        <w:t>（计算结果保留小数点后2位）</w:t>
      </w:r>
    </w:p>
    <w:p>
      <w:pPr>
        <w:tabs>
          <w:tab w:val="left" w:pos="4111"/>
        </w:tabs>
        <w:snapToGrid w:val="0"/>
        <w:spacing w:line="400" w:lineRule="atLeast"/>
        <w:ind w:firstLine="945" w:firstLineChars="450"/>
        <w:rPr>
          <w:rFonts w:hint="eastAsia" w:ascii="宋体" w:hAnsi="宋体" w:eastAsia="宋体" w:cs="宋体"/>
          <w:sz w:val="21"/>
          <w:szCs w:val="21"/>
        </w:rPr>
      </w:pPr>
    </w:p>
    <w:p>
      <w:pPr>
        <w:tabs>
          <w:tab w:val="left" w:pos="4111"/>
        </w:tabs>
        <w:snapToGrid w:val="0"/>
        <w:spacing w:line="400" w:lineRule="atLeast"/>
        <w:ind w:left="420" w:hanging="420" w:hangingChars="200"/>
        <w:rPr>
          <w:rFonts w:hint="eastAsia" w:ascii="宋体" w:hAnsi="宋体" w:eastAsia="宋体" w:cs="宋体"/>
          <w:sz w:val="21"/>
          <w:szCs w:val="21"/>
        </w:rPr>
      </w:pPr>
      <w:r>
        <w:rPr>
          <w:rFonts w:hint="eastAsia" w:ascii="宋体" w:hAnsi="宋体" w:eastAsia="宋体" w:cs="宋体"/>
          <w:sz w:val="21"/>
          <w:szCs w:val="21"/>
        </w:rPr>
        <w:t>24．A公司只生产一种产品，单位变动成本为800元，单位售价为1 000元，固定成本总额为50万元。公司拟追加投资扩大生产规模，预计公司规模扩大后固定成本总额将增加50万元，其他条件不变。</w:t>
      </w:r>
    </w:p>
    <w:p>
      <w:pPr>
        <w:tabs>
          <w:tab w:val="left" w:pos="4111"/>
        </w:tabs>
        <w:snapToGrid w:val="0"/>
        <w:spacing w:line="400" w:lineRule="atLeast"/>
        <w:ind w:firstLine="420" w:firstLineChars="200"/>
        <w:rPr>
          <w:rFonts w:hint="eastAsia" w:ascii="宋体" w:hAnsi="宋体" w:eastAsia="宋体" w:cs="宋体"/>
          <w:sz w:val="21"/>
          <w:szCs w:val="21"/>
        </w:rPr>
      </w:pPr>
      <w:r>
        <w:rPr>
          <w:rFonts w:hint="eastAsia" w:ascii="宋体" w:hAnsi="宋体" w:eastAsia="宋体" w:cs="宋体"/>
          <w:sz w:val="21"/>
          <w:szCs w:val="21"/>
        </w:rPr>
        <w:t>要求：(1)计算该产品的边际贡献率；</w:t>
      </w:r>
    </w:p>
    <w:p>
      <w:pPr>
        <w:tabs>
          <w:tab w:val="left" w:pos="4111"/>
        </w:tabs>
        <w:snapToGrid w:val="0"/>
        <w:spacing w:line="400" w:lineRule="atLeast"/>
        <w:ind w:firstLine="1050" w:firstLineChars="500"/>
        <w:rPr>
          <w:rFonts w:hint="eastAsia" w:ascii="宋体" w:hAnsi="宋体" w:eastAsia="宋体" w:cs="宋体"/>
          <w:sz w:val="21"/>
          <w:szCs w:val="21"/>
        </w:rPr>
      </w:pPr>
      <w:r>
        <w:rPr>
          <w:rFonts w:hint="eastAsia" w:ascii="宋体" w:hAnsi="宋体" w:eastAsia="宋体" w:cs="宋体"/>
          <w:sz w:val="21"/>
          <w:szCs w:val="21"/>
        </w:rPr>
        <w:t>(2)计算该产品扩大生产规模前的保本销售量和保本销售额；</w:t>
      </w:r>
    </w:p>
    <w:p>
      <w:pPr>
        <w:tabs>
          <w:tab w:val="left" w:pos="4111"/>
        </w:tabs>
        <w:snapToGrid w:val="0"/>
        <w:spacing w:line="400" w:lineRule="atLeast"/>
        <w:ind w:firstLine="1050" w:firstLineChars="500"/>
        <w:rPr>
          <w:rFonts w:hint="eastAsia" w:ascii="宋体" w:hAnsi="宋体" w:eastAsia="宋体" w:cs="宋体"/>
          <w:sz w:val="21"/>
          <w:szCs w:val="21"/>
        </w:rPr>
      </w:pPr>
      <w:r>
        <w:rPr>
          <w:rFonts w:hint="eastAsia" w:ascii="宋体" w:hAnsi="宋体" w:eastAsia="宋体" w:cs="宋体"/>
          <w:sz w:val="21"/>
          <w:szCs w:val="21"/>
        </w:rPr>
        <w:t>(3)如果公司扩大规模后确定的目标利润为100万元，计算目标销售量。</w:t>
      </w:r>
    </w:p>
    <w:p>
      <w:pPr>
        <w:tabs>
          <w:tab w:val="left" w:pos="4111"/>
        </w:tabs>
        <w:snapToGrid w:val="0"/>
        <w:spacing w:line="400" w:lineRule="atLeast"/>
        <w:rPr>
          <w:rFonts w:hint="eastAsia" w:ascii="宋体" w:hAnsi="宋体" w:eastAsia="宋体" w:cs="宋体"/>
          <w:sz w:val="21"/>
          <w:szCs w:val="21"/>
        </w:rPr>
      </w:pP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25.某企业每年需要A零件4500件，该零件每次订货成本为40元，每件年储存成本为1元。</w:t>
      </w:r>
    </w:p>
    <w:p>
      <w:pPr>
        <w:tabs>
          <w:tab w:val="left" w:pos="4253"/>
        </w:tabs>
        <w:spacing w:line="400" w:lineRule="atLeast"/>
        <w:rPr>
          <w:rFonts w:hint="eastAsia" w:ascii="宋体" w:hAnsi="宋体" w:eastAsia="宋体" w:cs="宋体"/>
          <w:sz w:val="21"/>
          <w:szCs w:val="21"/>
        </w:rPr>
      </w:pPr>
      <w:r>
        <w:rPr>
          <w:rFonts w:hint="eastAsia" w:ascii="宋体" w:hAnsi="宋体" w:eastAsia="宋体" w:cs="宋体"/>
          <w:sz w:val="21"/>
          <w:szCs w:val="21"/>
        </w:rPr>
        <w:t>要求：(1)计算A零件的最佳采购批量；</w:t>
      </w:r>
    </w:p>
    <w:p>
      <w:pPr>
        <w:tabs>
          <w:tab w:val="left" w:pos="4253"/>
        </w:tabs>
        <w:spacing w:line="400" w:lineRule="atLeast"/>
        <w:ind w:firstLine="630" w:firstLineChars="300"/>
        <w:rPr>
          <w:rFonts w:hint="eastAsia" w:ascii="宋体" w:hAnsi="宋体" w:eastAsia="宋体" w:cs="宋体"/>
          <w:sz w:val="21"/>
          <w:szCs w:val="21"/>
        </w:rPr>
      </w:pPr>
      <w:r>
        <w:rPr>
          <w:rFonts w:hint="eastAsia" w:ascii="宋体" w:hAnsi="宋体" w:eastAsia="宋体" w:cs="宋体"/>
          <w:sz w:val="21"/>
          <w:szCs w:val="21"/>
        </w:rPr>
        <w:t>(2)计算A零件年采购次数；</w:t>
      </w:r>
    </w:p>
    <w:p>
      <w:pPr>
        <w:ind w:firstLine="630" w:firstLineChars="300"/>
        <w:rPr>
          <w:rFonts w:hint="eastAsia" w:ascii="宋体" w:hAnsi="宋体" w:eastAsia="宋体" w:cs="宋体"/>
          <w:sz w:val="21"/>
          <w:szCs w:val="21"/>
        </w:rPr>
      </w:pPr>
      <w:r>
        <w:rPr>
          <w:rFonts w:hint="eastAsia" w:ascii="宋体" w:hAnsi="宋体" w:eastAsia="宋体" w:cs="宋体"/>
          <w:sz w:val="21"/>
          <w:szCs w:val="21"/>
        </w:rPr>
        <w:t>(3)计算A零件最佳采购批量的相关总成本</w:t>
      </w:r>
    </w:p>
    <w:p>
      <w:pPr>
        <w:ind w:firstLine="210" w:firstLineChars="100"/>
        <w:rPr>
          <w:rFonts w:hint="eastAsia" w:ascii="宋体" w:hAnsi="宋体" w:eastAsia="宋体" w:cs="宋体"/>
          <w:sz w:val="21"/>
          <w:szCs w:val="21"/>
        </w:rPr>
      </w:pPr>
    </w:p>
    <w:p>
      <w:pPr>
        <w:rPr>
          <w:rFonts w:ascii="宋体" w:hAnsi="宋体"/>
        </w:rPr>
      </w:pPr>
    </w:p>
    <w:p/>
    <w:p>
      <w:pPr>
        <w:rPr>
          <w:rFonts w:hint="eastAsia" w:ascii="宋体" w:hAnsi="宋体" w:cs="宋体"/>
          <w:b w:val="0"/>
          <w:bCs w:val="0"/>
          <w:color w:val="000000"/>
          <w:sz w:val="24"/>
          <w:szCs w:val="24"/>
          <w:u w:val="single"/>
          <w:lang w:val="en-US" w:eastAsia="zh-CN"/>
        </w:rPr>
      </w:pPr>
    </w:p>
    <w:p>
      <w:pPr>
        <w:rPr>
          <w:rFonts w:hint="eastAsia" w:ascii="宋体" w:hAnsi="宋体" w:cs="宋体"/>
          <w:b w:val="0"/>
          <w:bCs w:val="0"/>
          <w:color w:val="000000"/>
          <w:sz w:val="24"/>
          <w:szCs w:val="24"/>
          <w:u w:val="single"/>
          <w:lang w:val="en-US" w:eastAsia="zh-CN"/>
        </w:rPr>
      </w:pPr>
    </w:p>
    <w:p>
      <w:pPr>
        <w:rPr>
          <w:rFonts w:ascii="宋体" w:hAnsi="宋体"/>
          <w:b/>
          <w:szCs w:val="21"/>
        </w:rPr>
      </w:pPr>
      <w:r>
        <w:rPr>
          <w:rFonts w:hint="eastAsia" w:ascii="宋体" w:hAnsi="宋体" w:cs="宋体"/>
          <w:b w:val="0"/>
          <w:bCs w:val="0"/>
          <w:color w:val="000000"/>
          <w:sz w:val="24"/>
          <w:szCs w:val="24"/>
          <w:u w:val="single"/>
          <w:lang w:val="en-US" w:eastAsia="zh-CN"/>
        </w:rPr>
        <w:t>财务管理学复习资料</w:t>
      </w:r>
      <w:r>
        <w:rPr>
          <w:rFonts w:hint="eastAsia" w:ascii="宋体" w:hAnsi="宋体"/>
          <w:b/>
          <w:szCs w:val="21"/>
        </w:rPr>
        <w:t>答案</w:t>
      </w:r>
    </w:p>
    <w:p>
      <w:pPr>
        <w:ind w:firstLine="211" w:firstLineChars="100"/>
        <w:rPr>
          <w:rFonts w:ascii="宋体" w:hAnsi="宋体"/>
          <w:b/>
          <w:szCs w:val="21"/>
        </w:rPr>
      </w:pPr>
      <w:r>
        <w:rPr>
          <w:rFonts w:hint="eastAsia" w:ascii="宋体" w:hAnsi="宋体"/>
          <w:b/>
          <w:szCs w:val="21"/>
        </w:rPr>
        <w:t>单选题：</w:t>
      </w:r>
      <w:r>
        <w:rPr>
          <w:rFonts w:hint="eastAsia" w:ascii="宋体" w:hAnsi="宋体"/>
          <w:b/>
          <w:szCs w:val="21"/>
          <w:lang w:val="en-US" w:eastAsia="zh-CN"/>
        </w:rPr>
        <w:t xml:space="preserve">1-5  </w:t>
      </w:r>
      <w:r>
        <w:rPr>
          <w:rFonts w:hint="eastAsia" w:ascii="宋体" w:hAnsi="宋体"/>
          <w:b/>
          <w:szCs w:val="21"/>
        </w:rPr>
        <w:t xml:space="preserve">D D C D C  </w:t>
      </w:r>
      <w:bookmarkStart w:id="0" w:name="_GoBack"/>
      <w:bookmarkEnd w:id="0"/>
    </w:p>
    <w:p>
      <w:pPr>
        <w:ind w:firstLine="211" w:firstLineChars="100"/>
        <w:rPr>
          <w:rFonts w:hint="eastAsia" w:ascii="宋体" w:hAnsi="宋体"/>
          <w:b/>
          <w:szCs w:val="21"/>
        </w:rPr>
      </w:pPr>
      <w:r>
        <w:rPr>
          <w:rFonts w:hint="eastAsia" w:ascii="宋体" w:hAnsi="宋体"/>
          <w:b/>
          <w:szCs w:val="21"/>
        </w:rPr>
        <w:t>多选题;</w:t>
      </w:r>
      <w:r>
        <w:rPr>
          <w:rFonts w:hint="eastAsia" w:ascii="宋体" w:hAnsi="宋体"/>
          <w:b/>
          <w:szCs w:val="21"/>
          <w:lang w:val="en-US" w:eastAsia="zh-CN"/>
        </w:rPr>
        <w:t>11.</w:t>
      </w:r>
      <w:r>
        <w:rPr>
          <w:rFonts w:hint="eastAsia" w:ascii="宋体" w:hAnsi="宋体"/>
          <w:b/>
          <w:szCs w:val="21"/>
        </w:rPr>
        <w:t xml:space="preserve">AD   </w:t>
      </w:r>
      <w:r>
        <w:rPr>
          <w:rFonts w:hint="eastAsia" w:ascii="宋体" w:hAnsi="宋体"/>
          <w:b/>
          <w:szCs w:val="21"/>
          <w:lang w:val="en-US" w:eastAsia="zh-CN"/>
        </w:rPr>
        <w:t>12.</w:t>
      </w:r>
      <w:r>
        <w:rPr>
          <w:rFonts w:hint="eastAsia" w:ascii="宋体" w:hAnsi="宋体"/>
          <w:b/>
          <w:szCs w:val="21"/>
        </w:rPr>
        <w:t xml:space="preserve">ABDE  </w:t>
      </w:r>
      <w:r>
        <w:rPr>
          <w:rFonts w:hint="eastAsia" w:ascii="宋体" w:hAnsi="宋体"/>
          <w:b/>
          <w:szCs w:val="21"/>
          <w:lang w:val="en-US" w:eastAsia="zh-CN"/>
        </w:rPr>
        <w:t>13.</w:t>
      </w:r>
      <w:r>
        <w:rPr>
          <w:rFonts w:hint="eastAsia" w:ascii="宋体" w:hAnsi="宋体"/>
          <w:b/>
          <w:szCs w:val="21"/>
        </w:rPr>
        <w:t xml:space="preserve">ADE  </w:t>
      </w:r>
    </w:p>
    <w:p>
      <w:pPr>
        <w:ind w:firstLine="211" w:firstLineChars="100"/>
        <w:rPr>
          <w:rFonts w:hint="eastAsia" w:ascii="宋体" w:hAnsi="宋体"/>
          <w:b/>
          <w:szCs w:val="21"/>
        </w:rPr>
      </w:pPr>
      <w:r>
        <w:rPr>
          <w:rFonts w:hint="eastAsia" w:ascii="宋体" w:hAnsi="宋体"/>
          <w:b/>
          <w:szCs w:val="21"/>
          <w:lang w:val="en-US" w:eastAsia="zh-CN"/>
        </w:rPr>
        <w:t>简答题：</w:t>
      </w:r>
      <w:r>
        <w:rPr>
          <w:rFonts w:hint="eastAsia" w:ascii="宋体" w:hAnsi="宋体"/>
          <w:b/>
          <w:szCs w:val="21"/>
        </w:rPr>
        <w:t xml:space="preserve"> </w:t>
      </w:r>
      <w:r>
        <w:rPr>
          <w:rFonts w:hint="eastAsia" w:ascii="宋体" w:hAnsi="宋体"/>
          <w:b/>
          <w:szCs w:val="21"/>
          <w:lang w:val="en-US" w:eastAsia="zh-CN"/>
        </w:rPr>
        <w:t>16、</w:t>
      </w:r>
      <w:r>
        <w:rPr>
          <w:rFonts w:hint="eastAsia" w:ascii="宋体" w:hAnsi="宋体" w:eastAsia="宋体" w:cs="宋体"/>
          <w:b w:val="0"/>
          <w:bCs w:val="0"/>
          <w:i w:val="0"/>
          <w:iCs w:val="0"/>
          <w:caps w:val="0"/>
          <w:color w:val="auto"/>
          <w:spacing w:val="0"/>
          <w:sz w:val="21"/>
          <w:szCs w:val="21"/>
          <w:shd w:val="clear" w:fill="FFFFFF"/>
        </w:rPr>
        <w:t>金融市场是指以金融资产为交易对象，以金融资产的供给方和需求方为交易主体形成的交易机制及其关系的总和，广而言之，是实现货币借贷和资金融通、办理各种票据和有价证券交易活动的市场。比较完善的金融市场定义是：金融市场是交易金融资产并确定金融资产价格的一种机制。</w:t>
      </w:r>
      <w:r>
        <w:rPr>
          <w:rStyle w:val="6"/>
          <w:rFonts w:hint="eastAsia" w:ascii="宋体" w:hAnsi="宋体" w:eastAsia="宋体" w:cs="宋体"/>
          <w:b w:val="0"/>
          <w:bCs w:val="0"/>
          <w:i w:val="0"/>
          <w:iCs w:val="0"/>
          <w:caps w:val="0"/>
          <w:color w:val="auto"/>
          <w:spacing w:val="0"/>
          <w:sz w:val="21"/>
          <w:szCs w:val="21"/>
          <w:shd w:val="clear" w:fill="FFFFFF"/>
        </w:rPr>
        <w:t>金融市场可以从不同的角度进行分类：(1)按融资期限，可分为短期金融市场和长期金融市场。短期金融市场亦叫货币市场，包括票据贴现市场、短期存贷款市场、短期债券市场和金融机构之间的拆借市场等；长期金融市场亦称资本市场，包括长期贷款市场和证券市场。(2)按交易对象，可分为本币市场 (包括货币市场和资本市场)、外汇市场、黄金市场、证券市场等。</w:t>
      </w:r>
      <w:r>
        <w:rPr>
          <w:rFonts w:hint="eastAsia" w:ascii="宋体" w:hAnsi="宋体"/>
          <w:b/>
          <w:szCs w:val="21"/>
        </w:rPr>
        <w:t xml:space="preserve">   </w:t>
      </w:r>
    </w:p>
    <w:p>
      <w:pPr>
        <w:numPr>
          <w:ilvl w:val="0"/>
          <w:numId w:val="6"/>
        </w:numPr>
        <w:ind w:firstLine="240" w:firstLineChars="100"/>
        <w:rPr>
          <w:rFonts w:hint="eastAsia" w:ascii="微软雅黑" w:hAnsi="微软雅黑" w:eastAsia="微软雅黑" w:cs="微软雅黑"/>
          <w:i w:val="0"/>
          <w:iCs w:val="0"/>
          <w:caps w:val="0"/>
          <w:color w:val="333333"/>
          <w:spacing w:val="0"/>
          <w:sz w:val="24"/>
          <w:szCs w:val="24"/>
          <w:shd w:val="clear" w:fill="FFFFFF"/>
        </w:rPr>
      </w:pPr>
      <w:r>
        <w:rPr>
          <w:rFonts w:ascii="微软雅黑" w:hAnsi="微软雅黑" w:eastAsia="微软雅黑" w:cs="微软雅黑"/>
          <w:i w:val="0"/>
          <w:iCs w:val="0"/>
          <w:caps w:val="0"/>
          <w:color w:val="333333"/>
          <w:spacing w:val="0"/>
          <w:sz w:val="24"/>
          <w:szCs w:val="24"/>
          <w:shd w:val="clear" w:fill="FFFFFF"/>
        </w:rPr>
        <w:t>采用低正常股利加额外股利政策的意义有</w:t>
      </w:r>
      <w:r>
        <w:rPr>
          <w:rFonts w:hint="eastAsia" w:ascii="微软雅黑" w:hAnsi="微软雅黑" w:eastAsia="微软雅黑" w:cs="微软雅黑"/>
          <w:i w:val="0"/>
          <w:iCs w:val="0"/>
          <w:caps w:val="0"/>
          <w:color w:val="333333"/>
          <w:spacing w:val="0"/>
          <w:sz w:val="24"/>
          <w:szCs w:val="24"/>
          <w:shd w:val="clear" w:fill="FFFFFF"/>
        </w:rPr>
        <w:br w:type="textWrapping"/>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lang w:val="en-US" w:eastAsia="zh-CN"/>
        </w:rPr>
        <w:t>1</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能使公司具备较强的激动灵活性</w:t>
      </w:r>
      <w:r>
        <w:rPr>
          <w:rFonts w:hint="eastAsia" w:ascii="微软雅黑" w:hAnsi="微软雅黑" w:eastAsia="微软雅黑" w:cs="微软雅黑"/>
          <w:i w:val="0"/>
          <w:iCs w:val="0"/>
          <w:caps w:val="0"/>
          <w:color w:val="333333"/>
          <w:spacing w:val="0"/>
          <w:sz w:val="24"/>
          <w:szCs w:val="24"/>
          <w:shd w:val="clear" w:fill="FFFFFF"/>
        </w:rPr>
        <w:br w:type="textWrapping"/>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lang w:val="en-US" w:eastAsia="zh-CN"/>
        </w:rPr>
        <w:t>2</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适时又恰到好处地支付额外股利,可以使公司保持正常股利的稳定记录</w:t>
      </w:r>
      <w:r>
        <w:rPr>
          <w:rFonts w:hint="eastAsia" w:ascii="微软雅黑" w:hAnsi="微软雅黑" w:eastAsia="微软雅黑" w:cs="微软雅黑"/>
          <w:i w:val="0"/>
          <w:iCs w:val="0"/>
          <w:caps w:val="0"/>
          <w:color w:val="333333"/>
          <w:spacing w:val="0"/>
          <w:sz w:val="24"/>
          <w:szCs w:val="24"/>
          <w:shd w:val="clear" w:fill="FFFFFF"/>
        </w:rPr>
        <w:br w:type="textWrapping"/>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lang w:val="en-US" w:eastAsia="zh-CN"/>
        </w:rPr>
        <w:t>3</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适时又恰到好处地支付额外股利,能使股东分享公司繁荣的好处,并向市场传递有关公司当前和未来经营业绩良好的信息</w:t>
      </w:r>
      <w:r>
        <w:rPr>
          <w:rFonts w:hint="eastAsia" w:ascii="微软雅黑" w:hAnsi="微软雅黑" w:eastAsia="微软雅黑" w:cs="微软雅黑"/>
          <w:i w:val="0"/>
          <w:iCs w:val="0"/>
          <w:caps w:val="0"/>
          <w:color w:val="333333"/>
          <w:spacing w:val="0"/>
          <w:sz w:val="24"/>
          <w:szCs w:val="24"/>
          <w:shd w:val="clear" w:fill="FFFFFF"/>
        </w:rPr>
        <w:br w:type="textWrapping"/>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lang w:val="en-US" w:eastAsia="zh-CN"/>
        </w:rPr>
        <w:t>4</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可以使依赖股利收入的股东在各年能得到最起码的收入而且比较稳定,因而对投资者有较强吸引力</w:t>
      </w:r>
    </w:p>
    <w:p>
      <w:pPr>
        <w:numPr>
          <w:ilvl w:val="0"/>
          <w:numId w:val="6"/>
        </w:numPr>
        <w:ind w:firstLine="210" w:firstLineChars="100"/>
        <w:rPr>
          <w:rFonts w:hint="default" w:ascii="微软雅黑" w:hAnsi="微软雅黑" w:eastAsia="微软雅黑" w:cs="微软雅黑"/>
          <w:i w:val="0"/>
          <w:iCs w:val="0"/>
          <w:caps w:val="0"/>
          <w:color w:val="333333"/>
          <w:spacing w:val="0"/>
          <w:sz w:val="24"/>
          <w:szCs w:val="24"/>
          <w:shd w:val="clear" w:fill="FFFFFF"/>
          <w:lang w:val="en-US" w:eastAsia="zh-CN"/>
        </w:rPr>
      </w:pPr>
      <w:r>
        <w:rPr>
          <w:rFonts w:ascii="PingFangSC-Regular" w:hAnsi="PingFangSC-Regular" w:eastAsia="PingFangSC-Regular" w:cs="PingFangSC-Regular"/>
          <w:i w:val="0"/>
          <w:iCs w:val="0"/>
          <w:caps w:val="0"/>
          <w:color w:val="000000"/>
          <w:spacing w:val="0"/>
          <w:sz w:val="21"/>
          <w:szCs w:val="21"/>
          <w:shd w:val="clear" w:fill="FFFFFF"/>
        </w:rPr>
        <w:t>长期借款筹资的优点 (1)长期借款的资本成本较低。 (2)长期借款的筹资速度快。 (3)长期借款的筹资弹性较大。 (4)长期借款有利于保持股东控制权。</w:t>
      </w:r>
    </w:p>
    <w:p>
      <w:pPr>
        <w:numPr>
          <w:ilvl w:val="0"/>
          <w:numId w:val="7"/>
        </w:numPr>
        <w:rPr>
          <w:rFonts w:ascii="PingFangSC-Regular" w:hAnsi="PingFangSC-Regular" w:eastAsia="PingFangSC-Regular" w:cs="PingFangSC-Regular"/>
          <w:i w:val="0"/>
          <w:iCs w:val="0"/>
          <w:caps w:val="0"/>
          <w:color w:val="000000"/>
          <w:spacing w:val="0"/>
          <w:sz w:val="21"/>
          <w:szCs w:val="21"/>
          <w:shd w:val="clear" w:fill="FFFFFF"/>
        </w:rPr>
      </w:pPr>
      <w:r>
        <w:rPr>
          <w:rFonts w:ascii="PingFangSC-Regular" w:hAnsi="PingFangSC-Regular" w:eastAsia="PingFangSC-Regular" w:cs="PingFangSC-Regular"/>
          <w:i w:val="0"/>
          <w:iCs w:val="0"/>
          <w:caps w:val="0"/>
          <w:color w:val="000000"/>
          <w:spacing w:val="0"/>
          <w:sz w:val="21"/>
          <w:szCs w:val="21"/>
          <w:shd w:val="clear" w:fill="FFFFFF"/>
        </w:rPr>
        <w:t>长期借款筹资的缺点 (1)长期借款的财务风险较高。 (2)长期借款的限制较多。 (3)长期借款的筹资数量有限。</w:t>
      </w:r>
    </w:p>
    <w:p>
      <w:pPr>
        <w:numPr>
          <w:ilvl w:val="0"/>
          <w:numId w:val="0"/>
        </w:numPr>
        <w:rPr>
          <w:rFonts w:hint="default" w:ascii="PingFangSC-Regular" w:hAnsi="PingFangSC-Regular" w:eastAsia="PingFangSC-Regular" w:cs="PingFangSC-Regular"/>
          <w:i w:val="0"/>
          <w:iCs w:val="0"/>
          <w:caps w:val="0"/>
          <w:color w:val="000000"/>
          <w:spacing w:val="0"/>
          <w:sz w:val="21"/>
          <w:szCs w:val="21"/>
          <w:shd w:val="clear" w:fill="FFFFFF"/>
          <w:lang w:val="en-US" w:eastAsia="zh-CN"/>
        </w:rPr>
      </w:pPr>
      <w:r>
        <w:rPr>
          <w:rFonts w:hint="eastAsia" w:ascii="PingFangSC-Regular" w:hAnsi="PingFangSC-Regular" w:eastAsia="PingFangSC-Regular" w:cs="PingFangSC-Regular"/>
          <w:i w:val="0"/>
          <w:iCs w:val="0"/>
          <w:caps w:val="0"/>
          <w:color w:val="000000"/>
          <w:spacing w:val="0"/>
          <w:sz w:val="21"/>
          <w:szCs w:val="21"/>
          <w:shd w:val="clear" w:fill="FFFFFF"/>
          <w:lang w:val="en-US" w:eastAsia="zh-CN"/>
        </w:rPr>
        <w:t>19、利率由三部分构成:无风险利率、通货膨胀补偿、风险报酬。</w:t>
      </w:r>
    </w:p>
    <w:p>
      <w:pPr>
        <w:ind w:firstLine="211" w:firstLineChars="100"/>
        <w:rPr>
          <w:rFonts w:ascii="宋体" w:hAnsi="宋体"/>
          <w:b/>
          <w:szCs w:val="21"/>
        </w:rPr>
      </w:pPr>
      <w:r>
        <w:rPr>
          <w:rFonts w:hint="eastAsia" w:ascii="宋体" w:hAnsi="宋体"/>
          <w:b/>
          <w:szCs w:val="21"/>
        </w:rPr>
        <w:t>计算题</w:t>
      </w:r>
    </w:p>
    <w:p>
      <w:pPr>
        <w:ind w:firstLine="211" w:firstLineChars="100"/>
        <w:rPr>
          <w:rFonts w:ascii="宋体" w:hAnsi="宋体"/>
          <w:b/>
          <w:szCs w:val="21"/>
        </w:rPr>
      </w:pPr>
      <w:r>
        <w:rPr>
          <w:rFonts w:hint="eastAsia" w:ascii="宋体" w:hAnsi="宋体"/>
          <w:b/>
          <w:szCs w:val="21"/>
        </w:rPr>
        <w:t>20、方案二现值=57+27*PVIFA8%，6=181.821（万元）</w:t>
      </w:r>
    </w:p>
    <w:p>
      <w:pPr>
        <w:ind w:firstLine="211" w:firstLineChars="100"/>
        <w:rPr>
          <w:rFonts w:ascii="宋体" w:hAnsi="宋体"/>
          <w:b/>
          <w:szCs w:val="21"/>
        </w:rPr>
      </w:pPr>
      <w:r>
        <w:rPr>
          <w:rFonts w:hint="eastAsia" w:ascii="宋体" w:hAnsi="宋体"/>
          <w:b/>
          <w:szCs w:val="21"/>
        </w:rPr>
        <w:t xml:space="preserve">     方案一现值=180万元</w:t>
      </w:r>
    </w:p>
    <w:p>
      <w:pPr>
        <w:ind w:firstLine="211" w:firstLineChars="100"/>
        <w:rPr>
          <w:rFonts w:ascii="宋体" w:hAnsi="宋体"/>
          <w:b/>
          <w:szCs w:val="21"/>
        </w:rPr>
      </w:pPr>
      <w:r>
        <w:rPr>
          <w:rFonts w:hint="eastAsia" w:ascii="宋体" w:hAnsi="宋体"/>
          <w:b/>
          <w:szCs w:val="21"/>
        </w:rPr>
        <w:t xml:space="preserve">     选择方案一</w:t>
      </w:r>
    </w:p>
    <w:p>
      <w:pPr>
        <w:ind w:firstLine="211" w:firstLineChars="100"/>
        <w:rPr>
          <w:rFonts w:ascii="宋体" w:hAnsi="宋体"/>
          <w:b/>
          <w:szCs w:val="21"/>
        </w:rPr>
      </w:pPr>
      <w:r>
        <w:rPr>
          <w:rFonts w:hint="eastAsia" w:ascii="宋体" w:hAnsi="宋体"/>
          <w:b/>
          <w:szCs w:val="21"/>
        </w:rPr>
        <w:t>21、债券利息=6000*50%*10%=300（万元）</w:t>
      </w:r>
    </w:p>
    <w:p>
      <w:pPr>
        <w:ind w:firstLine="211" w:firstLineChars="100"/>
        <w:rPr>
          <w:rFonts w:ascii="宋体" w:hAnsi="宋体"/>
          <w:b/>
          <w:szCs w:val="21"/>
        </w:rPr>
      </w:pPr>
      <w:r>
        <w:rPr>
          <w:rFonts w:hint="eastAsia" w:ascii="宋体" w:hAnsi="宋体"/>
          <w:b/>
          <w:szCs w:val="21"/>
        </w:rPr>
        <w:t xml:space="preserve">    财务杠杆系数==1000/1000-300=1.44</w:t>
      </w:r>
    </w:p>
    <w:p>
      <w:pPr>
        <w:ind w:firstLine="211" w:firstLineChars="100"/>
        <w:rPr>
          <w:rFonts w:ascii="宋体" w:hAnsi="宋体"/>
          <w:b/>
          <w:szCs w:val="21"/>
        </w:rPr>
      </w:pPr>
      <w:r>
        <w:rPr>
          <w:rFonts w:hint="eastAsia" w:ascii="宋体" w:hAnsi="宋体"/>
          <w:b/>
          <w:szCs w:val="21"/>
        </w:rPr>
        <w:t>22、债券本利和=1000*（1+5*7%）=1350元</w:t>
      </w:r>
    </w:p>
    <w:p>
      <w:pPr>
        <w:ind w:firstLine="211" w:firstLineChars="100"/>
        <w:rPr>
          <w:rFonts w:ascii="宋体" w:hAnsi="宋体"/>
          <w:b/>
          <w:szCs w:val="21"/>
        </w:rPr>
      </w:pPr>
      <w:r>
        <w:rPr>
          <w:rFonts w:hint="eastAsia" w:ascii="宋体" w:hAnsi="宋体"/>
          <w:b/>
          <w:szCs w:val="21"/>
        </w:rPr>
        <w:t xml:space="preserve">   债券发行价格=1350*PVIF8%，5=1350*0.681=919。35</w:t>
      </w:r>
    </w:p>
    <w:p>
      <w:pPr>
        <w:ind w:firstLine="210" w:firstLineChars="100"/>
        <w:rPr>
          <w:rFonts w:ascii="宋体" w:hAnsi="宋体"/>
          <w:szCs w:val="21"/>
        </w:rPr>
      </w:pPr>
    </w:p>
    <w:p>
      <w:pPr>
        <w:ind w:firstLine="210" w:firstLineChars="100"/>
        <w:rPr>
          <w:rFonts w:ascii="宋体" w:hAnsi="宋体"/>
          <w:b/>
          <w:szCs w:val="21"/>
        </w:rPr>
      </w:pPr>
      <w:r>
        <w:rPr>
          <w:rFonts w:hint="eastAsia" w:ascii="宋体" w:hAnsi="宋体"/>
          <w:szCs w:val="21"/>
        </w:rPr>
        <w:t>23</w:t>
      </w:r>
      <w:r>
        <w:rPr>
          <w:rFonts w:hint="eastAsia" w:ascii="宋体" w:hAnsi="宋体"/>
          <w:b/>
          <w:szCs w:val="21"/>
        </w:rPr>
        <w:t>、净现值=80*PVIFA8%，4+100*PVIF8%，5-300=33、06（元）</w:t>
      </w:r>
    </w:p>
    <w:p>
      <w:pPr>
        <w:ind w:firstLine="211" w:firstLineChars="100"/>
        <w:rPr>
          <w:rFonts w:ascii="宋体" w:hAnsi="宋体"/>
          <w:b/>
          <w:szCs w:val="21"/>
        </w:rPr>
      </w:pPr>
      <w:r>
        <w:rPr>
          <w:rFonts w:hint="eastAsia" w:ascii="宋体" w:hAnsi="宋体"/>
          <w:b/>
          <w:szCs w:val="21"/>
        </w:rPr>
        <w:t xml:space="preserve">    获利指数=80*PVIFA8%，4+100*PVIF8%，5/300=1、11</w:t>
      </w:r>
    </w:p>
    <w:p>
      <w:pPr>
        <w:ind w:firstLine="210" w:firstLineChars="100"/>
        <w:rPr>
          <w:rFonts w:ascii="宋体" w:hAnsi="宋体"/>
          <w:b/>
          <w:szCs w:val="21"/>
        </w:rPr>
      </w:pPr>
      <w:r>
        <w:rPr>
          <w:rFonts w:hint="eastAsia" w:ascii="宋体" w:hAnsi="宋体"/>
          <w:szCs w:val="21"/>
        </w:rPr>
        <w:t xml:space="preserve">     </w:t>
      </w:r>
      <w:r>
        <w:rPr>
          <w:rFonts w:hint="eastAsia" w:ascii="宋体" w:hAnsi="宋体"/>
          <w:b/>
          <w:szCs w:val="21"/>
        </w:rPr>
        <w:t xml:space="preserve"> 投资回收期=3+60/80=3.75（年）</w:t>
      </w:r>
    </w:p>
    <w:p>
      <w:pPr>
        <w:ind w:firstLine="211" w:firstLineChars="100"/>
        <w:rPr>
          <w:rFonts w:ascii="宋体" w:hAnsi="宋体"/>
          <w:b/>
          <w:szCs w:val="21"/>
        </w:rPr>
      </w:pPr>
      <w:r>
        <w:rPr>
          <w:rFonts w:hint="eastAsia" w:ascii="宋体" w:hAnsi="宋体"/>
          <w:b/>
          <w:szCs w:val="21"/>
        </w:rPr>
        <w:t xml:space="preserve">    净现值大于零，获利指数大于1，投资回收期小于4年，该项目可取。</w:t>
      </w:r>
    </w:p>
    <w:p>
      <w:pPr>
        <w:ind w:firstLine="211" w:firstLineChars="100"/>
        <w:rPr>
          <w:rFonts w:ascii="宋体" w:hAnsi="宋体"/>
          <w:b/>
          <w:szCs w:val="21"/>
        </w:rPr>
      </w:pPr>
      <w:r>
        <w:rPr>
          <w:rFonts w:hint="eastAsia" w:ascii="宋体" w:hAnsi="宋体"/>
          <w:b/>
          <w:szCs w:val="21"/>
        </w:rPr>
        <w:t>24、边际贡献率=1000-800/1000=20%</w:t>
      </w:r>
    </w:p>
    <w:p>
      <w:pPr>
        <w:ind w:firstLine="211" w:firstLineChars="100"/>
        <w:rPr>
          <w:rFonts w:ascii="宋体" w:hAnsi="宋体"/>
          <w:b/>
          <w:szCs w:val="21"/>
        </w:rPr>
      </w:pPr>
      <w:r>
        <w:rPr>
          <w:rFonts w:hint="eastAsia" w:ascii="宋体" w:hAnsi="宋体"/>
          <w:b/>
          <w:szCs w:val="21"/>
        </w:rPr>
        <w:t xml:space="preserve">    保本销售量=500000/1000-800=2500（件）</w:t>
      </w:r>
    </w:p>
    <w:p>
      <w:pPr>
        <w:ind w:firstLine="211" w:firstLineChars="100"/>
        <w:rPr>
          <w:rFonts w:ascii="宋体" w:hAnsi="宋体"/>
          <w:b/>
          <w:szCs w:val="21"/>
        </w:rPr>
      </w:pPr>
      <w:r>
        <w:rPr>
          <w:rFonts w:hint="eastAsia" w:ascii="宋体" w:hAnsi="宋体"/>
          <w:b/>
          <w:szCs w:val="21"/>
        </w:rPr>
        <w:t xml:space="preserve">    保本销售额=2500*1000=2500000（元）</w:t>
      </w:r>
    </w:p>
    <w:p>
      <w:pPr>
        <w:ind w:firstLine="211" w:firstLineChars="100"/>
        <w:rPr>
          <w:rFonts w:ascii="宋体" w:hAnsi="宋体"/>
          <w:b/>
          <w:szCs w:val="21"/>
        </w:rPr>
      </w:pPr>
      <w:r>
        <w:rPr>
          <w:rFonts w:hint="eastAsia" w:ascii="宋体" w:hAnsi="宋体"/>
          <w:b/>
          <w:szCs w:val="21"/>
        </w:rPr>
        <w:t>目标销售量=1000000+500000+5000000/1000-800=10000（件）</w:t>
      </w:r>
    </w:p>
    <w:p>
      <w:pPr>
        <w:ind w:firstLine="211" w:firstLineChars="100"/>
        <w:rPr>
          <w:rFonts w:ascii="宋体" w:hAnsi="宋体"/>
          <w:szCs w:val="21"/>
        </w:rPr>
      </w:pPr>
      <w:r>
        <w:rPr>
          <w:rFonts w:hint="eastAsia" w:ascii="宋体" w:hAnsi="宋体"/>
          <w:b/>
          <w:szCs w:val="21"/>
        </w:rPr>
        <w:t>2</w:t>
      </w:r>
      <w:r>
        <w:rPr>
          <w:rFonts w:hint="eastAsia" w:ascii="宋体" w:hAnsi="宋体"/>
          <w:b/>
          <w:szCs w:val="21"/>
          <w:lang w:val="en-US" w:eastAsia="zh-CN"/>
        </w:rPr>
        <w:t>5</w:t>
      </w:r>
      <w:r>
        <w:rPr>
          <w:rFonts w:hint="eastAsia" w:ascii="宋体" w:hAnsi="宋体"/>
          <w:b/>
          <w:szCs w:val="21"/>
        </w:rPr>
        <w:t>、</w:t>
      </w:r>
    </w:p>
    <w:p>
      <w:pPr>
        <w:ind w:firstLine="211" w:firstLineChars="100"/>
        <w:rPr>
          <w:rFonts w:hint="eastAsia" w:ascii="宋体" w:hAnsi="宋体"/>
          <w:b/>
          <w:szCs w:val="21"/>
        </w:rPr>
      </w:pPr>
    </w:p>
    <w:p>
      <w:pPr>
        <w:ind w:firstLine="281" w:firstLineChars="100"/>
        <w:rPr>
          <w:rFonts w:hint="eastAsia" w:ascii="宋体" w:hAnsi="宋体"/>
          <w:b/>
          <w:sz w:val="28"/>
          <w:szCs w:val="28"/>
        </w:rPr>
      </w:pPr>
    </w:p>
    <w:p>
      <w:pPr>
        <w:ind w:firstLine="281" w:firstLineChars="100"/>
        <w:rPr>
          <w:rFonts w:hint="eastAsia" w:ascii="宋体" w:hAnsi="宋体"/>
          <w:b/>
          <w:sz w:val="28"/>
          <w:szCs w:val="28"/>
        </w:rPr>
      </w:pPr>
    </w:p>
    <w:p>
      <w:pPr>
        <w:ind w:firstLine="281" w:firstLineChars="100"/>
        <w:rPr>
          <w:rFonts w:hint="eastAsia" w:ascii="宋体" w:hAnsi="宋体"/>
          <w:b/>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PingFangSC-Regular">
    <w:altName w:val="平方怀古体"/>
    <w:panose1 w:val="00000000000000000000"/>
    <w:charset w:val="00"/>
    <w:family w:val="auto"/>
    <w:pitch w:val="default"/>
    <w:sig w:usb0="00000000" w:usb1="00000000" w:usb2="00000000" w:usb3="00000000" w:csb0="00000000" w:csb1="00000000"/>
  </w:font>
  <w:font w:name="平方怀古体">
    <w:panose1 w:val="02000500000000000000"/>
    <w:charset w:val="80"/>
    <w:family w:val="auto"/>
    <w:pitch w:val="default"/>
    <w:sig w:usb0="80000001" w:usb1="0801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E3A558"/>
    <w:multiLevelType w:val="singleLevel"/>
    <w:tmpl w:val="B8E3A558"/>
    <w:lvl w:ilvl="0" w:tentative="0">
      <w:start w:val="2"/>
      <w:numFmt w:val="chineseCounting"/>
      <w:suff w:val="nothing"/>
      <w:lvlText w:val="%1、"/>
      <w:lvlJc w:val="left"/>
      <w:rPr>
        <w:rFonts w:hint="eastAsia"/>
      </w:rPr>
    </w:lvl>
  </w:abstractNum>
  <w:abstractNum w:abstractNumId="1">
    <w:nsid w:val="BA6D596D"/>
    <w:multiLevelType w:val="singleLevel"/>
    <w:tmpl w:val="BA6D596D"/>
    <w:lvl w:ilvl="0" w:tentative="0">
      <w:start w:val="17"/>
      <w:numFmt w:val="decimal"/>
      <w:suff w:val="nothing"/>
      <w:lvlText w:val="%1、"/>
      <w:lvlJc w:val="left"/>
    </w:lvl>
  </w:abstractNum>
  <w:abstractNum w:abstractNumId="2">
    <w:nsid w:val="EDB499A2"/>
    <w:multiLevelType w:val="singleLevel"/>
    <w:tmpl w:val="EDB499A2"/>
    <w:lvl w:ilvl="0" w:tentative="0">
      <w:start w:val="2"/>
      <w:numFmt w:val="chineseCounting"/>
      <w:suff w:val="nothing"/>
      <w:lvlText w:val="%1、"/>
      <w:lvlJc w:val="left"/>
      <w:rPr>
        <w:rFonts w:hint="eastAsia"/>
      </w:rPr>
    </w:lvl>
  </w:abstractNum>
  <w:abstractNum w:abstractNumId="3">
    <w:nsid w:val="36690F5E"/>
    <w:multiLevelType w:val="singleLevel"/>
    <w:tmpl w:val="36690F5E"/>
    <w:lvl w:ilvl="0" w:tentative="0">
      <w:start w:val="19"/>
      <w:numFmt w:val="decimal"/>
      <w:suff w:val="space"/>
      <w:lvlText w:val="%1."/>
      <w:lvlJc w:val="left"/>
    </w:lvl>
  </w:abstractNum>
  <w:abstractNum w:abstractNumId="4">
    <w:nsid w:val="56092CA3"/>
    <w:multiLevelType w:val="singleLevel"/>
    <w:tmpl w:val="56092CA3"/>
    <w:lvl w:ilvl="0" w:tentative="0">
      <w:start w:val="4"/>
      <w:numFmt w:val="decimal"/>
      <w:suff w:val="nothing"/>
      <w:lvlText w:val="%1."/>
      <w:lvlJc w:val="left"/>
    </w:lvl>
  </w:abstractNum>
  <w:abstractNum w:abstractNumId="5">
    <w:nsid w:val="56092E63"/>
    <w:multiLevelType w:val="singleLevel"/>
    <w:tmpl w:val="56092E63"/>
    <w:lvl w:ilvl="0" w:tentative="0">
      <w:start w:val="8"/>
      <w:numFmt w:val="decimal"/>
      <w:suff w:val="nothing"/>
      <w:lvlText w:val="%1."/>
      <w:lvlJc w:val="left"/>
    </w:lvl>
  </w:abstractNum>
  <w:abstractNum w:abstractNumId="6">
    <w:nsid w:val="560933F3"/>
    <w:multiLevelType w:val="singleLevel"/>
    <w:tmpl w:val="560933F3"/>
    <w:lvl w:ilvl="0" w:tentative="0">
      <w:start w:val="14"/>
      <w:numFmt w:val="decimal"/>
      <w:suff w:val="nothing"/>
      <w:lvlText w:val="%1."/>
      <w:lvlJc w:val="left"/>
    </w:lvl>
  </w:abstractNum>
  <w:num w:numId="1">
    <w:abstractNumId w:val="4"/>
  </w:num>
  <w:num w:numId="2">
    <w:abstractNumId w:val="5"/>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6C574E"/>
    <w:rsid w:val="001F4DD6"/>
    <w:rsid w:val="006C574E"/>
    <w:rsid w:val="00C2300D"/>
    <w:rsid w:val="00E85C3A"/>
    <w:rsid w:val="20776349"/>
    <w:rsid w:val="20B322F1"/>
    <w:rsid w:val="50FD391F"/>
    <w:rsid w:val="660D23A2"/>
    <w:rsid w:val="68FA77C2"/>
    <w:rsid w:val="6B37774F"/>
    <w:rsid w:val="7C9A4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Strong"/>
    <w:basedOn w:val="5"/>
    <w:qFormat/>
    <w:uiPriority w:val="22"/>
    <w:rPr>
      <w:b/>
    </w:rPr>
  </w:style>
  <w:style w:type="character" w:styleId="7">
    <w:name w:val="Emphasis"/>
    <w:basedOn w:val="5"/>
    <w:qFormat/>
    <w:uiPriority w:val="20"/>
    <w:rPr>
      <w:i/>
    </w:rPr>
  </w:style>
  <w:style w:type="character" w:customStyle="1" w:styleId="8">
    <w:name w:val="页眉 Char"/>
    <w:basedOn w:val="5"/>
    <w:link w:val="3"/>
    <w:qFormat/>
    <w:uiPriority w:val="99"/>
    <w:rPr>
      <w:sz w:val="18"/>
      <w:szCs w:val="18"/>
    </w:rPr>
  </w:style>
  <w:style w:type="character" w:customStyle="1" w:styleId="9">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hz</Company>
  <Pages>5</Pages>
  <Words>2471</Words>
  <Characters>3001</Characters>
  <Lines>4</Lines>
  <Paragraphs>1</Paragraphs>
  <TotalTime>18</TotalTime>
  <ScaleCrop>false</ScaleCrop>
  <LinksUpToDate>false</LinksUpToDate>
  <CharactersWithSpaces>3624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2017-10-09T10:19:00Z</dcterms:created>
  <dc:creator>Administrator</dc:creator>
  <cp:lastModifiedBy>Administrator</cp:lastModifiedBy>
  <dcterms:modified xsi:type="dcterms:W3CDTF">2022-12-11T06:47:02Z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A4539506DFD942B99DECF55E6F7C9A08</vt:lpwstr>
  </property>
</Properties>
</file>