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ind w:left="426" w:hanging="426"/>
        <w:jc w:val="center"/>
        <w:textAlignment w:val="auto"/>
        <w:rPr>
          <w:rFonts w:hint="eastAsia" w:hAnsi="宋体" w:cs="宋体"/>
          <w:b/>
          <w:sz w:val="21"/>
          <w:szCs w:val="21"/>
          <w:lang w:eastAsia="zh-CN"/>
        </w:rPr>
      </w:pPr>
      <w:r>
        <w:rPr>
          <w:rFonts w:hint="eastAsia" w:hAnsi="宋体" w:cs="宋体"/>
          <w:b/>
          <w:sz w:val="21"/>
          <w:szCs w:val="21"/>
          <w:lang w:eastAsia="zh-CN"/>
        </w:rPr>
        <w:t>财务管理学复习资料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ind w:left="426" w:hanging="426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一</w:t>
      </w:r>
      <w:r>
        <w:rPr>
          <w:rFonts w:hint="eastAsia" w:ascii="宋体" w:hAnsi="宋体" w:eastAsia="宋体" w:cs="宋体"/>
          <w:b/>
          <w:sz w:val="21"/>
          <w:szCs w:val="21"/>
        </w:rPr>
        <w:t>、单项选择题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资金市场按交易性质可分为(      )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A.一级市场与二级市场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B.货币市场与资本市场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C.证券市场与借贷市场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D.资金市场、外汇市场与黄金市场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2.按照行驶里程计算固定资产折旧额，每行驶里程的折旧额是(      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A.递增的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B.递减的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 C.相同的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 xml:space="preserve">D.不相同的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3.无形资产的转让包括所有权转让和使用权转让两种方式，无论哪种转让方式取得的收入，均计入企业的(      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A.产品销售收入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B.其他销售收入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C.营业外收入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 w:val="21"/>
          <w:szCs w:val="21"/>
        </w:rPr>
        <w:t>D.投资净收益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4.固定资产的经济折旧年限同物理折旧年限相比(      )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A.前者长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B.前者短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C.两者一样        D.无法计量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5.短期投资的目的是(      )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A.将资金投于其他企业以谋求经营性收益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B.将资金分散运用以防范风险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C.利用控股方式实现企业扩张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 xml:space="preserve">D.利用生产经营暂时闲置资金谋求收益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6.按对外投资形式的产权关系不同，对外投资可以分为(      )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A.实物投资和证券投资 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B.股权投资和债权投资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C.直接投资和间接投资 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D.短期投资和长期投资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7.企业生产产品所耗费的社会必要劳动量，其货币表现是(      )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A.企业生产费用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B.企业成本费用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C.社会生产费用    D.社会保障费用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8.商品流通企业的经营成本，一般是指(      )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A.商品的进价成本   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B.商品的进价成本加流通费用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C.商品的进价成本加管理费用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D.商品的进价成本加经营费用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9.企业工资费用的控制，通常采用相互联系的两个指标，它们是(      )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A.工资总额与劳动定额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B.工资总额与编制定员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C.工资总额与效益挂钩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D.工资总额与平均工资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10.企业当年无利润时，经股东会特别决议，可用盈余公积金分配股利，但分配数额不能超过股票值的(      )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A.5%            B.6%             C.8%               D.10%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二</w:t>
      </w:r>
      <w:r>
        <w:rPr>
          <w:rFonts w:hint="eastAsia" w:hAnsi="宋体" w:eastAsia="宋体" w:cs="宋体"/>
          <w:b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b/>
          <w:sz w:val="21"/>
          <w:szCs w:val="21"/>
        </w:rPr>
        <w:t xml:space="preserve"> 解释题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1、投资风险价值：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2、最佳资本结构：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3、内含报酬率：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三、简答题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 xml:space="preserve">、简述财务管理的成本效益原则。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2、简述流动资产的组成。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、简述固定资产保管使用责任制的“三定一折”管理方法。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z w:val="21"/>
          <w:szCs w:val="21"/>
        </w:rPr>
        <w:t>、简述企业目标成本及其制定方法。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四、论述题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>、 试论述企业用权益融资与债务融资的利弊。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、试述股份制企业的股利分配政策及其特点。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. 试述财务杠杆原理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五、计算题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某企业现有资金100000元可以用于以下投资方案：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方案A：购入国库券（五年期，年利率14%，不计复利，到期一次支付本息）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方案B：购买新设备（使用期5年，预计残值收入为设备总额的10%，按直线计提折旧，设备交付使用后每年可以实现12000元的税前利润）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该企业的资金成本率为10%，适用所得税率为30%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要求：（1）计算投资方案A的净现值；（2）计算投资方案B的各年现金流量及净现值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ind w:firstLine="210" w:firstLineChars="1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（P/F,10%。5）=0.621, （P/F,14%。5）=0.519, （F/P,10%。5）=1.611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（F/P,14%。5）=1.925,(P/A,10%。5）=3.791, （F/A,10%。5）=6.105</w:t>
      </w:r>
    </w:p>
    <w:p>
      <w:pPr>
        <w:keepNext w:val="0"/>
        <w:keepLines w:val="0"/>
        <w:pageBreakBefore w:val="0"/>
        <w:tabs>
          <w:tab w:val="left" w:pos="3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bCs/>
          <w:sz w:val="21"/>
          <w:szCs w:val="21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="313" w:afterLines="100" w:afterAutospacing="0" w:line="6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pStyle w:val="2"/>
        <w:spacing w:line="300" w:lineRule="auto"/>
        <w:jc w:val="center"/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  <w:t>财务管理学复习资料参考答案</w:t>
      </w:r>
    </w:p>
    <w:p>
      <w:pPr>
        <w:pStyle w:val="2"/>
        <w:spacing w:line="300" w:lineRule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一、单项选择题</w:t>
      </w:r>
    </w:p>
    <w:p>
      <w:pPr>
        <w:pStyle w:val="2"/>
        <w:spacing w:line="30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2.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3.   4.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5.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6.   7.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8.</w:t>
      </w:r>
      <w:r>
        <w:rPr>
          <w:rFonts w:hint="eastAsia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9.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10.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</w:p>
    <w:p>
      <w:pPr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二、名词解释题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指投资者冒风险进行投资所获得的报酬，也就是投资收益多于（或少于）货币时间价值的那部分。   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</w:p>
    <w:p>
      <w:pPr>
        <w:rPr>
          <w:rFonts w:hint="eastAsia" w:ascii="宋体" w:hAnsi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 又称内部报酬率或内在收益率,它是能使一项投资方案的净现值等于零的投资报酬率</w:t>
      </w:r>
    </w:p>
    <w:p>
      <w:pPr>
        <w:rPr>
          <w:rFonts w:hint="eastAsia" w:ascii="宋体" w:hAnsi="宋体" w:eastAsia="宋体" w:cs="宋体"/>
          <w:b/>
          <w:bCs/>
          <w:sz w:val="21"/>
          <w:szCs w:val="21"/>
        </w:rPr>
      </w:pPr>
    </w:p>
    <w:p>
      <w:pPr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四、简答题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 xml:space="preserve"> 、答：(1)成本效益原则是对经济活动中所费与所得进行分析比较，使成本收益得到最优结合以求获取最多盈利。(2)实行成本效益原则能够提高企业经济效益，使投资者权益最大化，它是由企业理财目标决定的。(3)筹资活动有资金成本与息税前收益的分析，投资决策中有投资额与收益分析，日常经营有成本与收入分析，其他活动也有经济得失分析。因此，成本效益原则广为应用。   </w:t>
      </w:r>
    </w:p>
    <w:p>
      <w:pPr>
        <w:numPr>
          <w:ilvl w:val="0"/>
          <w:numId w:val="0"/>
        </w:numPr>
        <w:rPr>
          <w:rFonts w:hint="eastAsia" w:ascii="宋体" w:hAnsi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2、</w:t>
      </w:r>
      <w:r>
        <w:rPr>
          <w:rFonts w:hint="eastAsia" w:ascii="宋体" w:hAnsi="宋体" w:eastAsia="宋体" w:cs="宋体"/>
          <w:sz w:val="21"/>
          <w:szCs w:val="21"/>
        </w:rPr>
        <w:t>答：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、答：在建立固定资产保管使用责任制方面，实行设备定号、保管定人、管理定户、建立保管折的管理方法，是一条行之有效的经验。设备定号，是按照固定资产目录为每台设备按类、分项统一编号，使每台设备都有编号。保管定人，根据谁用、谁管、谁负责的原则，把设备的保管责任落实到人。管理定户，就是以班组为设备管理的基层单位，为一人管理户，并以班组为单位建立固定资产保管折，调入、调出等按户口管理的办法进和进行。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z w:val="21"/>
          <w:szCs w:val="21"/>
        </w:rPr>
        <w:t>、答：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四、论述题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>、答：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、答：股利分配政策是有关企业发展和股利分配的一项重要方针和策略，其核心是正确处理公司与投资者之间、当前利益与长远利益之间产关系。常用的股利分配政策有：(1)剩余股利政策，即将企业的税后可分配利润首先用作内部融资，剩余部分用于向股东分配股利。(2)稳定的股利政策，即支付给股东的股利总是维持在一定水平上，不随盈利的增减变化而变化。(3)变动的股利政策。即企业支付给股东的股利随盈利额的变动而变动。(4)正常股利加额外股利的股利政策。企业一般每年按固定数额向股东支付正常股利，遇到盈利大幅增长时，再增加支付一部分额外股利。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bookmarkStart w:id="0" w:name="_GoBack"/>
      <w:bookmarkEnd w:id="0"/>
    </w:p>
    <w:p>
      <w:pPr>
        <w:numPr>
          <w:ilvl w:val="0"/>
          <w:numId w:val="1"/>
        </w:numP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计算题</w:t>
      </w:r>
    </w:p>
    <w:p>
      <w:pPr>
        <w:spacing w:line="400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sz w:val="21"/>
          <w:szCs w:val="21"/>
        </w:rPr>
        <w:t>(1). 普通股成本=7%+1.5×(13%-7%)=16%</w:t>
      </w:r>
    </w:p>
    <w:p>
      <w:pPr>
        <w:spacing w:line="400" w:lineRule="exact"/>
        <w:ind w:left="78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加权平均资金成本=(400/1000)×10%×(1-30%)+(600/1000)×16%=12.4%</w:t>
      </w:r>
    </w:p>
    <w:p>
      <w:pPr>
        <w:spacing w:line="400" w:lineRule="exact"/>
        <w:ind w:left="42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(2)假设每股收益无差别点为EBIT</w:t>
      </w:r>
    </w:p>
    <w:p>
      <w:pPr>
        <w:spacing w:line="400" w:lineRule="exact"/>
        <w:ind w:left="42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则:  (EBIT-400×10%-500×12%)×(1-30%)   =   (EBIT-400×10%)×(1-30%)</w:t>
      </w:r>
    </w:p>
    <w:p>
      <w:pPr>
        <w:spacing w:line="400" w:lineRule="exact"/>
        <w:ind w:firstLine="159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22860</wp:posOffset>
                </wp:positionV>
                <wp:extent cx="1828800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61pt;margin-top:1.8pt;height:0pt;width:144pt;z-index:251660288;mso-width-relative:page;mso-height-relative:page;" filled="f" stroked="t" coordsize="21600,21600" o:gfxdata="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FR0uaHUAAAABwEAAA8AAAAAAAAAAQAgAAAAIgAAAGRycy9kb3ducmV2LnhtbFBLAQIUABQA&#10;AAAIAIdO4kC9hKM59AEAAOQDAAAOAAAAAAAAAAEAIAAAACMBAABkcnMvZTJvRG9jLnhtbFBLBQYA&#10;AAAABgAGAFkBAACJ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0</wp:posOffset>
                </wp:positionV>
                <wp:extent cx="2057400" cy="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5pt;margin-top:0pt;height:0pt;width:162pt;z-index:251659264;mso-width-relative:page;mso-height-relative:page;" filled="f" stroked="t" coordsize="21600,21600" o:gfxdata="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kScVXTAAAABAEAAA8AAAAAAAAAAQAgAAAAIgAAAGRycy9kb3ducmV2LnhtbFBLAQIUABQA&#10;AAAIAIdO4kA2st939QEAAOQDAAAOAAAAAAAAAAEAIAAAACIBAABkcnMvZTJvRG9jLnhtbFBLBQYA&#10;AAAABgAGAFkBAACJ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sz w:val="21"/>
          <w:szCs w:val="21"/>
        </w:rPr>
        <w:t>600/10                                  (600/10+500/10)</w:t>
      </w:r>
    </w:p>
    <w:p>
      <w:pPr>
        <w:spacing w:line="400" w:lineRule="exact"/>
        <w:ind w:firstLine="159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EBIT=172万</w:t>
      </w:r>
    </w:p>
    <w:p>
      <w:pPr>
        <w:spacing w:line="400" w:lineRule="exact"/>
        <w:ind w:firstLine="75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公司息税前利润为240万元大于172万元,应发行债券.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A3FD4D"/>
    <w:multiLevelType w:val="singleLevel"/>
    <w:tmpl w:val="19A3FD4D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yZjBlM2NlMDNhMDc2OWNhNTg0MmE3Yjg5MWM0NjgifQ=="/>
  </w:docVars>
  <w:rsids>
    <w:rsidRoot w:val="691E24EC"/>
    <w:rsid w:val="003E6166"/>
    <w:rsid w:val="0F781087"/>
    <w:rsid w:val="170719BF"/>
    <w:rsid w:val="17B703DA"/>
    <w:rsid w:val="1E9F1ECF"/>
    <w:rsid w:val="4190052C"/>
    <w:rsid w:val="464E7770"/>
    <w:rsid w:val="5900525C"/>
    <w:rsid w:val="61211C83"/>
    <w:rsid w:val="691E24EC"/>
    <w:rsid w:val="69B33D95"/>
    <w:rsid w:val="747E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2021-10-21T07:52:00Z</dcterms:created>
  <dc:creator>H姐姐</dc:creator>
  <cp:lastModifiedBy>育华教育玉环客服</cp:lastModifiedBy>
  <dcterms:modified xsi:type="dcterms:W3CDTF">2022-11-30T02:56:51Z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B5F4CC50AE5247788CF7E5E6D6E80D3B</vt:lpwstr>
  </property>
</Properties>
</file>