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60" w:lineRule="atLeast"/>
        <w:ind w:left="426" w:hanging="426"/>
        <w:jc w:val="center"/>
        <w:textAlignment w:val="auto"/>
        <w:rPr>
          <w:rFonts w:hint="eastAsia" w:hAnsi="宋体" w:cs="宋体"/>
          <w:b/>
          <w:sz w:val="21"/>
          <w:szCs w:val="21"/>
          <w:lang w:eastAsia="zh-CN"/>
        </w:rPr>
      </w:pPr>
      <w:r>
        <w:rPr>
          <w:rFonts w:hint="eastAsia" w:hAnsi="宋体" w:cs="宋体"/>
          <w:b/>
          <w:sz w:val="21"/>
          <w:szCs w:val="21"/>
          <w:lang w:eastAsia="zh-CN"/>
        </w:rPr>
        <w:t>财务管理学复习资料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60" w:lineRule="atLeast"/>
        <w:ind w:left="426" w:hanging="426"/>
        <w:textAlignment w:val="auto"/>
        <w:rPr>
          <w:rFonts w:hint="eastAsia" w:ascii="宋体" w:hAnsi="宋体" w:eastAsia="宋体" w:cs="宋体"/>
          <w:b/>
          <w:sz w:val="21"/>
          <w:szCs w:val="21"/>
        </w:rPr>
      </w:pPr>
      <w:r>
        <w:rPr>
          <w:rFonts w:hint="eastAsia" w:ascii="宋体" w:hAnsi="宋体" w:eastAsia="宋体" w:cs="宋体"/>
          <w:b/>
          <w:sz w:val="21"/>
          <w:szCs w:val="21"/>
          <w:lang w:eastAsia="zh-CN"/>
        </w:rPr>
        <w:t>一</w:t>
      </w:r>
      <w:r>
        <w:rPr>
          <w:rFonts w:hint="eastAsia" w:ascii="宋体" w:hAnsi="宋体" w:eastAsia="宋体" w:cs="宋体"/>
          <w:b/>
          <w:sz w:val="21"/>
          <w:szCs w:val="21"/>
        </w:rPr>
        <w:t>、单项选择题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6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.</w:t>
      </w:r>
      <w:r>
        <w:rPr>
          <w:rFonts w:hint="eastAsia" w:ascii="宋体" w:hAnsi="宋体" w:eastAsia="宋体" w:cs="宋体"/>
          <w:sz w:val="21"/>
          <w:szCs w:val="21"/>
        </w:rPr>
        <w:t xml:space="preserve">资金市场按交易性质可分为(      )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6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A.一级市场与二级市场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    </w:t>
      </w:r>
      <w:r>
        <w:rPr>
          <w:rFonts w:hint="eastAsia" w:ascii="宋体" w:hAnsi="宋体" w:eastAsia="宋体" w:cs="宋体"/>
          <w:sz w:val="21"/>
          <w:szCs w:val="21"/>
        </w:rPr>
        <w:t>B.货币市场与资本市场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6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C.证券市场与借贷市场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    </w:t>
      </w:r>
      <w:r>
        <w:rPr>
          <w:rFonts w:hint="eastAsia" w:ascii="宋体" w:hAnsi="宋体" w:eastAsia="宋体" w:cs="宋体"/>
          <w:sz w:val="21"/>
          <w:szCs w:val="21"/>
        </w:rPr>
        <w:t>D.资金市场、外汇市场与黄金市场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6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2.按照行驶里程计算固定资产折旧额，每行驶里程的折旧额是(      )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6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A.递增的  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sz w:val="21"/>
          <w:szCs w:val="21"/>
        </w:rPr>
        <w:t xml:space="preserve">B.递减的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1"/>
          <w:szCs w:val="21"/>
        </w:rPr>
        <w:t xml:space="preserve"> C.相同的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sz w:val="21"/>
          <w:szCs w:val="21"/>
        </w:rPr>
        <w:t xml:space="preserve">D.不相同的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6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3.无形资产的转让包括所有权转让和使用权转让两种方式，无论哪种转让方式取得的收入，均计入企业的(      )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6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A.产品销售收入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            </w:t>
      </w:r>
      <w:r>
        <w:rPr>
          <w:rFonts w:hint="eastAsia" w:ascii="宋体" w:hAnsi="宋体" w:eastAsia="宋体" w:cs="宋体"/>
          <w:sz w:val="21"/>
          <w:szCs w:val="21"/>
        </w:rPr>
        <w:t xml:space="preserve">B.其他销售收入 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6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C.营业外收入 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          </w:t>
      </w:r>
      <w:r>
        <w:rPr>
          <w:rFonts w:hint="eastAsia" w:ascii="宋体" w:hAnsi="宋体" w:eastAsia="宋体" w:cs="宋体"/>
          <w:sz w:val="21"/>
          <w:szCs w:val="21"/>
        </w:rPr>
        <w:t>D.投资净收益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6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4.固定资产的经济折旧年限同物理折旧年限相比(      )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6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A.前者长       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 xml:space="preserve">B.前者短   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1"/>
          <w:szCs w:val="21"/>
        </w:rPr>
        <w:t xml:space="preserve">C.两者一样        D.无法计量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6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5.短期投资的目的是(      )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6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A.将资金投于其他企业以谋求经营性收益 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1"/>
          <w:szCs w:val="21"/>
        </w:rPr>
        <w:t>B.将资金分散运用以防范风险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6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C.利用控股方式实现企业扩张       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sz w:val="21"/>
          <w:szCs w:val="21"/>
        </w:rPr>
        <w:t xml:space="preserve">D.利用生产经营暂时闲置资金谋求收益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6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6.按对外投资形式的产权关系不同，对外投资可以分为(      )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6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A.实物投资和证券投资           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</w:rPr>
        <w:t xml:space="preserve">B.股权投资和债权投资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6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C.直接投资和间接投资           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</w:rPr>
        <w:t xml:space="preserve">D.短期投资和长期投资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6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7.企业生产产品所耗费的社会必要劳动量，其货币表现是(      )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6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A.企业生产费用 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 xml:space="preserve">B.企业成本费用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 xml:space="preserve">C.社会生产费用    D.社会保障费用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6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8.商品流通企业的经营成本，一般是指(      )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6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A.商品的进价成本             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B.商品的进价成本加流通费用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6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C.商品的进价成本加管理费用   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 xml:space="preserve">D.商品的进价成本加经营费用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6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9.企业工资费用的控制，通常采用相互联系的两个指标，它们是(      )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6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A.工资总额与劳动定额          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1"/>
          <w:szCs w:val="21"/>
        </w:rPr>
        <w:t xml:space="preserve">B.工资总额与编制定员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6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C.工资总额与效益挂钩          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1"/>
          <w:szCs w:val="21"/>
        </w:rPr>
        <w:t xml:space="preserve">D.工资总额与平均工资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6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10.企业当年无利润时，经股东会特别决议，可用盈余公积金分配股利，但分配数额不能超过股票值的(      )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6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A.5%            B.6%             C.8%               D.10%   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6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b/>
          <w:sz w:val="21"/>
          <w:szCs w:val="21"/>
        </w:rPr>
        <w:t>二</w:t>
      </w:r>
      <w:r>
        <w:rPr>
          <w:rFonts w:hint="eastAsia" w:hAnsi="宋体" w:eastAsia="宋体" w:cs="宋体"/>
          <w:b/>
          <w:sz w:val="21"/>
          <w:szCs w:val="21"/>
          <w:lang w:eastAsia="zh-CN"/>
        </w:rPr>
        <w:t>、</w:t>
      </w:r>
      <w:r>
        <w:rPr>
          <w:rFonts w:hint="eastAsia" w:ascii="宋体" w:hAnsi="宋体" w:eastAsia="宋体" w:cs="宋体"/>
          <w:b/>
          <w:sz w:val="21"/>
          <w:szCs w:val="21"/>
        </w:rPr>
        <w:t xml:space="preserve"> 解释题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6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1、投资风险价值： 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6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2、最佳资本结构：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6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3、内含报酬率：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6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b/>
          <w:sz w:val="21"/>
          <w:szCs w:val="21"/>
        </w:rPr>
        <w:t>三、简答题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6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1</w:t>
      </w:r>
      <w:r>
        <w:rPr>
          <w:rFonts w:hint="eastAsia" w:ascii="宋体" w:hAnsi="宋体" w:eastAsia="宋体" w:cs="宋体"/>
          <w:sz w:val="21"/>
          <w:szCs w:val="21"/>
        </w:rPr>
        <w:t xml:space="preserve">、简述财务管理的成本效益原则。   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6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2、简述流动资产的组成。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6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3</w:t>
      </w:r>
      <w:r>
        <w:rPr>
          <w:rFonts w:hint="eastAsia" w:ascii="宋体" w:hAnsi="宋体" w:eastAsia="宋体" w:cs="宋体"/>
          <w:sz w:val="21"/>
          <w:szCs w:val="21"/>
        </w:rPr>
        <w:t>、简述固定资产保管使用责任制的“三定一折”管理方法。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60" w:lineRule="atLeast"/>
        <w:textAlignment w:val="auto"/>
        <w:rPr>
          <w:rFonts w:hint="eastAsia" w:ascii="宋体" w:hAnsi="宋体" w:eastAsia="宋体" w:cs="宋体"/>
          <w:b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4</w:t>
      </w:r>
      <w:r>
        <w:rPr>
          <w:rFonts w:hint="eastAsia" w:ascii="宋体" w:hAnsi="宋体" w:eastAsia="宋体" w:cs="宋体"/>
          <w:sz w:val="21"/>
          <w:szCs w:val="21"/>
        </w:rPr>
        <w:t>、简述企业目标成本及其制定方法。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6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b/>
          <w:sz w:val="21"/>
          <w:szCs w:val="21"/>
        </w:rPr>
        <w:t>四、论述题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6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1</w:t>
      </w:r>
      <w:r>
        <w:rPr>
          <w:rFonts w:hint="eastAsia" w:ascii="宋体" w:hAnsi="宋体" w:eastAsia="宋体" w:cs="宋体"/>
          <w:sz w:val="21"/>
          <w:szCs w:val="21"/>
        </w:rPr>
        <w:t>、 试论述企业用权益融资与债务融资的利弊。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6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2</w:t>
      </w:r>
      <w:r>
        <w:rPr>
          <w:rFonts w:hint="eastAsia" w:ascii="宋体" w:hAnsi="宋体" w:eastAsia="宋体" w:cs="宋体"/>
          <w:sz w:val="21"/>
          <w:szCs w:val="21"/>
        </w:rPr>
        <w:t>、试述股份制企业的股利分配政策及其特点。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6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3</w:t>
      </w:r>
      <w:r>
        <w:rPr>
          <w:rFonts w:hint="eastAsia" w:ascii="宋体" w:hAnsi="宋体" w:eastAsia="宋体" w:cs="宋体"/>
          <w:sz w:val="21"/>
          <w:szCs w:val="21"/>
        </w:rPr>
        <w:t>. 试述财务杠杆原理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60" w:lineRule="atLeast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eastAsia="zh-CN"/>
        </w:rPr>
        <w:t>五、计算题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6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、</w:t>
      </w:r>
      <w:r>
        <w:rPr>
          <w:rFonts w:hint="eastAsia" w:ascii="宋体" w:hAnsi="宋体" w:eastAsia="宋体" w:cs="宋体"/>
          <w:sz w:val="21"/>
          <w:szCs w:val="21"/>
        </w:rPr>
        <w:t>某企业现有资金100000元可以用于以下投资方案：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6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方案A：购入国库券（五年期，年利率14%，不计复利，到期一次支付本息）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6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方案B：购买新设备（使用期5年，预计残值收入为设备总额的10%，按直线计提折旧，设备交付使用后每年可以实现12000元的税前利润）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6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该企业的资金成本率为10%，适用所得税率为30%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6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要求：（1）计算投资方案A的净现值；（2）计算投资方案B的各年现金流量及净现值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60" w:lineRule="atLeast"/>
        <w:ind w:firstLine="210" w:firstLineChars="1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（P/F,10%。5）=0.621, （P/F,14%。5）=0.519, （F/P,10%。5）=1.611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6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  （F/P,14%。5）=1.925,(P/A,10%。5）=3.791, （F/A,10%。5）=6.105</w:t>
      </w:r>
    </w:p>
    <w:p>
      <w:pPr>
        <w:keepNext w:val="0"/>
        <w:keepLines w:val="0"/>
        <w:pageBreakBefore w:val="0"/>
        <w:tabs>
          <w:tab w:val="left" w:pos="39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6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60" w:lineRule="atLeast"/>
        <w:textAlignment w:val="auto"/>
        <w:rPr>
          <w:rFonts w:hint="eastAsia" w:ascii="宋体" w:hAnsi="宋体" w:eastAsia="宋体" w:cs="宋体"/>
          <w:bCs/>
          <w:sz w:val="21"/>
          <w:szCs w:val="21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60" w:lineRule="atLeast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6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6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6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6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6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6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6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6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bookmarkStart w:id="0" w:name="_GoBack"/>
      <w:bookmarkEnd w:id="0"/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beforeAutospacing="0" w:after="313" w:afterLines="100" w:afterAutospacing="0" w:line="60" w:lineRule="atLeast"/>
        <w:jc w:val="left"/>
        <w:textAlignment w:val="auto"/>
        <w:rPr>
          <w:rFonts w:hint="eastAsia" w:ascii="宋体" w:hAnsi="宋体" w:eastAsia="宋体" w:cs="宋体"/>
          <w:b w:val="0"/>
          <w:bCs w:val="0"/>
          <w:sz w:val="21"/>
          <w:szCs w:val="21"/>
        </w:rPr>
      </w:pPr>
    </w:p>
    <w:p>
      <w:pPr>
        <w:pStyle w:val="2"/>
        <w:spacing w:line="300" w:lineRule="auto"/>
        <w:jc w:val="center"/>
        <w:rPr>
          <w:rFonts w:hint="eastAsia" w:hAnsi="宋体"/>
          <w:szCs w:val="21"/>
          <w:lang w:eastAsia="zh-CN"/>
        </w:rPr>
      </w:pPr>
      <w:r>
        <w:rPr>
          <w:rFonts w:hint="eastAsia" w:hAnsi="宋体"/>
          <w:szCs w:val="21"/>
          <w:lang w:eastAsia="zh-CN"/>
        </w:rPr>
        <w:t>财务管理学复习资料参考答案</w:t>
      </w:r>
    </w:p>
    <w:p>
      <w:pPr>
        <w:pStyle w:val="2"/>
        <w:spacing w:line="300" w:lineRule="auto"/>
        <w:rPr>
          <w:rFonts w:hint="eastAsia" w:hAnsi="宋体"/>
          <w:szCs w:val="21"/>
        </w:rPr>
      </w:pPr>
      <w:r>
        <w:rPr>
          <w:rFonts w:hint="eastAsia" w:hAnsi="宋体"/>
          <w:szCs w:val="21"/>
        </w:rPr>
        <w:t>一、单项选择题</w:t>
      </w:r>
    </w:p>
    <w:p>
      <w:pPr>
        <w:pStyle w:val="2"/>
        <w:spacing w:line="300" w:lineRule="auto"/>
        <w:rPr>
          <w:rFonts w:hint="eastAsia" w:hAnsi="宋体"/>
        </w:rPr>
      </w:pPr>
      <w:r>
        <w:rPr>
          <w:rFonts w:hint="eastAsia" w:hAnsi="宋体"/>
          <w:lang w:val="en-US" w:eastAsia="zh-CN"/>
        </w:rPr>
        <w:t>1.</w:t>
      </w:r>
      <w:r>
        <w:rPr>
          <w:rFonts w:hint="eastAsia" w:hAnsi="宋体"/>
        </w:rPr>
        <w:t>C</w:t>
      </w:r>
      <w:r>
        <w:rPr>
          <w:rFonts w:hint="eastAsia" w:hAnsi="宋体"/>
          <w:lang w:val="en-US" w:eastAsia="zh-CN"/>
        </w:rPr>
        <w:t>2.</w:t>
      </w:r>
      <w:r>
        <w:rPr>
          <w:rFonts w:hint="eastAsia" w:hAnsi="宋体"/>
        </w:rPr>
        <w:t>C</w:t>
      </w:r>
      <w:r>
        <w:rPr>
          <w:rFonts w:hint="eastAsia" w:hAnsi="宋体"/>
          <w:lang w:val="en-US" w:eastAsia="zh-CN"/>
        </w:rPr>
        <w:t>3.4.</w:t>
      </w:r>
      <w:r>
        <w:rPr>
          <w:rFonts w:hint="eastAsia" w:hAnsi="宋体"/>
        </w:rPr>
        <w:t>B</w:t>
      </w:r>
      <w:r>
        <w:rPr>
          <w:rFonts w:hint="eastAsia" w:hAnsi="宋体"/>
          <w:lang w:val="en-US" w:eastAsia="zh-CN"/>
        </w:rPr>
        <w:t>5.</w:t>
      </w:r>
      <w:r>
        <w:rPr>
          <w:rFonts w:hint="eastAsia" w:hAnsi="宋体"/>
        </w:rPr>
        <w:t xml:space="preserve">D </w:t>
      </w:r>
      <w:r>
        <w:rPr>
          <w:rFonts w:hint="eastAsia" w:hAnsi="宋体"/>
          <w:lang w:val="en-US" w:eastAsia="zh-CN"/>
        </w:rPr>
        <w:t>6.7.</w:t>
      </w:r>
      <w:r>
        <w:rPr>
          <w:rFonts w:hint="eastAsia" w:hAnsi="宋体"/>
        </w:rPr>
        <w:t>D</w:t>
      </w:r>
      <w:r>
        <w:rPr>
          <w:rFonts w:hint="eastAsia" w:hAnsi="宋体"/>
          <w:lang w:val="en-US" w:eastAsia="zh-CN"/>
        </w:rPr>
        <w:t>8.</w:t>
      </w:r>
      <w:r>
        <w:rPr>
          <w:rFonts w:hint="eastAsia" w:hAnsi="宋体"/>
        </w:rPr>
        <w:t>A</w:t>
      </w:r>
      <w:r>
        <w:rPr>
          <w:rFonts w:hint="eastAsia" w:hAnsi="宋体"/>
          <w:lang w:val="en-US" w:eastAsia="zh-CN"/>
        </w:rPr>
        <w:t>9.</w:t>
      </w:r>
      <w:r>
        <w:rPr>
          <w:rFonts w:hint="eastAsia" w:hAnsi="宋体"/>
        </w:rPr>
        <w:t>D</w:t>
      </w:r>
      <w:r>
        <w:rPr>
          <w:rFonts w:hint="eastAsia" w:hAnsi="宋体"/>
          <w:lang w:val="en-US" w:eastAsia="zh-CN"/>
        </w:rPr>
        <w:t>10.</w:t>
      </w:r>
      <w:r>
        <w:rPr>
          <w:rFonts w:hint="eastAsia" w:hAnsi="宋体"/>
        </w:rPr>
        <w:t xml:space="preserve"> </w:t>
      </w:r>
    </w:p>
    <w:p>
      <w:pPr>
        <w:rPr>
          <w:rFonts w:hint="eastAsia" w:hAnsi="宋体"/>
          <w:szCs w:val="21"/>
        </w:rPr>
      </w:pPr>
      <w:r>
        <w:rPr>
          <w:rFonts w:hint="eastAsia" w:hAnsi="宋体"/>
          <w:szCs w:val="21"/>
        </w:rPr>
        <w:t>二、名词解释题</w:t>
      </w:r>
    </w:p>
    <w:p>
      <w:pPr>
        <w:rPr>
          <w:rFonts w:hint="eastAsia" w:hAnsi="宋体"/>
          <w:szCs w:val="21"/>
        </w:rPr>
      </w:pPr>
      <w:r>
        <w:rPr>
          <w:rFonts w:hint="eastAsia" w:hAnsi="宋体"/>
          <w:szCs w:val="21"/>
        </w:rPr>
        <w:t xml:space="preserve">1指投资者冒风险进行投资所获得的报酬，也就是投资收益多于（或少于）货币时间价值的那部分。   </w:t>
      </w:r>
    </w:p>
    <w:p>
      <w:pPr>
        <w:rPr>
          <w:rFonts w:hint="eastAsia" w:hAnsi="宋体"/>
          <w:szCs w:val="21"/>
        </w:rPr>
      </w:pPr>
      <w:r>
        <w:rPr>
          <w:rFonts w:hint="eastAsia" w:hAnsi="宋体"/>
          <w:szCs w:val="21"/>
        </w:rPr>
        <w:t xml:space="preserve">2 </w:t>
      </w:r>
    </w:p>
    <w:p>
      <w:pPr>
        <w:rPr>
          <w:rFonts w:hint="eastAsia" w:hAnsi="宋体"/>
          <w:szCs w:val="21"/>
        </w:rPr>
      </w:pPr>
      <w:r>
        <w:rPr>
          <w:rFonts w:hint="eastAsia" w:hAnsi="宋体"/>
          <w:szCs w:val="21"/>
        </w:rPr>
        <w:t>3. 又称内部报酬率或内在收益率,它是能使一项投资方案的净现值等于零的投资报酬率</w:t>
      </w:r>
    </w:p>
    <w:p>
      <w:pPr>
        <w:rPr>
          <w:rFonts w:hint="eastAsia" w:hAnsi="宋体"/>
          <w:szCs w:val="21"/>
        </w:rPr>
      </w:pPr>
      <w:r>
        <w:rPr>
          <w:rFonts w:hint="eastAsia" w:hAnsi="宋体"/>
          <w:szCs w:val="21"/>
        </w:rPr>
        <w:t>四、简答题</w:t>
      </w:r>
      <w:r>
        <w:rPr>
          <w:rFonts w:hAnsi="宋体"/>
          <w:szCs w:val="21"/>
        </w:rPr>
        <w:t>(</w:t>
      </w:r>
      <w:r>
        <w:rPr>
          <w:rFonts w:hint="eastAsia" w:hAnsi="宋体"/>
          <w:szCs w:val="21"/>
        </w:rPr>
        <w:t>本大题共</w:t>
      </w:r>
      <w:r>
        <w:rPr>
          <w:rFonts w:hAnsi="宋体"/>
          <w:szCs w:val="21"/>
        </w:rPr>
        <w:t>4</w:t>
      </w:r>
      <w:r>
        <w:rPr>
          <w:rFonts w:hint="eastAsia" w:hAnsi="宋体"/>
          <w:szCs w:val="21"/>
        </w:rPr>
        <w:t>小题，每小题</w:t>
      </w:r>
      <w:r>
        <w:rPr>
          <w:rFonts w:hAnsi="宋体"/>
          <w:szCs w:val="21"/>
        </w:rPr>
        <w:t>6</w:t>
      </w:r>
      <w:r>
        <w:rPr>
          <w:rFonts w:hint="eastAsia" w:hAnsi="宋体"/>
          <w:szCs w:val="21"/>
        </w:rPr>
        <w:t>分，共</w:t>
      </w:r>
      <w:r>
        <w:rPr>
          <w:rFonts w:hAnsi="宋体"/>
          <w:szCs w:val="21"/>
        </w:rPr>
        <w:t>24</w:t>
      </w:r>
      <w:r>
        <w:rPr>
          <w:rFonts w:hint="eastAsia" w:hAnsi="宋体"/>
          <w:szCs w:val="21"/>
        </w:rPr>
        <w:t>分</w:t>
      </w:r>
      <w:r>
        <w:rPr>
          <w:rFonts w:hAnsi="宋体"/>
          <w:szCs w:val="21"/>
        </w:rPr>
        <w:t>)</w:t>
      </w:r>
    </w:p>
    <w:p>
      <w:pPr>
        <w:rPr>
          <w:rFonts w:hint="eastAsia" w:hAnsi="宋体"/>
          <w:szCs w:val="21"/>
        </w:rPr>
      </w:pPr>
      <w:r>
        <w:rPr>
          <w:rFonts w:hint="eastAsia" w:hAnsi="宋体"/>
          <w:szCs w:val="21"/>
          <w:lang w:val="en-US" w:eastAsia="zh-CN"/>
        </w:rPr>
        <w:t>1</w:t>
      </w:r>
      <w:r>
        <w:rPr>
          <w:rFonts w:hint="eastAsia"/>
        </w:rPr>
        <w:t xml:space="preserve"> </w:t>
      </w:r>
      <w:r>
        <w:rPr>
          <w:rFonts w:hint="eastAsia" w:hAnsi="宋体"/>
          <w:szCs w:val="21"/>
        </w:rPr>
        <w:t xml:space="preserve">、答：(1)成本效益原则是对经济活动中所费与所得进行分析比较，使成本收益得到最优结合以求获取最多盈利。(2)实行成本效益原则能够提高企业经济效益，使投资者权益最大化，它是由企业理财目标决定的。(3)筹资活动有资金成本与息税前收益的分析，投资决策中有投资额与收益分析，日常经营有成本与收入分析，其他活动也有经济得失分析。因此，成本效益原则广为应用。   </w:t>
      </w:r>
    </w:p>
    <w:p>
      <w:pPr>
        <w:numPr>
          <w:ilvl w:val="0"/>
          <w:numId w:val="1"/>
        </w:numPr>
        <w:rPr>
          <w:rFonts w:hint="eastAsia" w:hAnsi="宋体"/>
          <w:szCs w:val="21"/>
        </w:rPr>
      </w:pPr>
      <w:r>
        <w:rPr>
          <w:rFonts w:hint="eastAsia" w:hAnsi="宋体"/>
          <w:szCs w:val="21"/>
        </w:rPr>
        <w:t>答：</w:t>
      </w:r>
    </w:p>
    <w:p>
      <w:pPr>
        <w:numPr>
          <w:ilvl w:val="0"/>
          <w:numId w:val="0"/>
        </w:numPr>
        <w:rPr>
          <w:rFonts w:hint="eastAsia" w:hAnsi="宋体"/>
          <w:szCs w:val="21"/>
        </w:rPr>
      </w:pPr>
      <w:r>
        <w:rPr>
          <w:rFonts w:hint="eastAsia" w:hAnsi="宋体"/>
          <w:szCs w:val="21"/>
          <w:lang w:val="en-US" w:eastAsia="zh-CN"/>
        </w:rPr>
        <w:t>3</w:t>
      </w:r>
      <w:r>
        <w:rPr>
          <w:rFonts w:hint="eastAsia" w:hAnsi="宋体"/>
          <w:szCs w:val="21"/>
        </w:rPr>
        <w:t>、答：在建立固定资产保管使用责任制方面，实行设备定号、保管定人、管理定户、建立保管折的管理方法，是一条行之有效的经验。设备定号，是按照固定资产目录为每台设备按类、分项统一编号，使每台设备都有编号。保管定人，根据谁用、谁管、谁负责的原则，把设备的保管责任落实到人。管理定户，就是以班组为设备管理的基层单位，为一人管理户，并以班组为单位建立固定资产保管折，调入、调出等按户口管理的办法进和进行。</w:t>
      </w:r>
    </w:p>
    <w:p>
      <w:pPr>
        <w:rPr>
          <w:rFonts w:hint="eastAsia" w:hAnsi="宋体"/>
          <w:szCs w:val="21"/>
        </w:rPr>
      </w:pPr>
      <w:r>
        <w:rPr>
          <w:rFonts w:hint="eastAsia" w:hAnsi="宋体"/>
          <w:szCs w:val="21"/>
          <w:lang w:val="en-US" w:eastAsia="zh-CN"/>
        </w:rPr>
        <w:t>4</w:t>
      </w:r>
      <w:r>
        <w:rPr>
          <w:rFonts w:hint="eastAsia" w:hAnsi="宋体"/>
          <w:szCs w:val="21"/>
        </w:rPr>
        <w:t>、答：</w:t>
      </w:r>
    </w:p>
    <w:p>
      <w:pPr>
        <w:rPr>
          <w:rFonts w:hint="eastAsia" w:hAnsi="宋体"/>
          <w:szCs w:val="21"/>
          <w:lang w:val="en-US" w:eastAsia="zh-CN"/>
        </w:rPr>
      </w:pPr>
      <w:r>
        <w:rPr>
          <w:rFonts w:hint="eastAsia" w:hAnsi="宋体"/>
          <w:szCs w:val="21"/>
          <w:lang w:val="en-US" w:eastAsia="zh-CN"/>
        </w:rPr>
        <w:t>四、论述题</w:t>
      </w:r>
    </w:p>
    <w:p>
      <w:pPr>
        <w:rPr>
          <w:rFonts w:hint="eastAsia" w:hAnsi="宋体"/>
          <w:szCs w:val="21"/>
        </w:rPr>
      </w:pPr>
      <w:r>
        <w:rPr>
          <w:rFonts w:hint="eastAsia" w:hAnsi="宋体"/>
          <w:szCs w:val="21"/>
          <w:lang w:val="en-US" w:eastAsia="zh-CN"/>
        </w:rPr>
        <w:t>1</w:t>
      </w:r>
      <w:r>
        <w:rPr>
          <w:rFonts w:hint="eastAsia" w:hAnsi="宋体"/>
          <w:szCs w:val="21"/>
        </w:rPr>
        <w:t>、答：(1)权益融资是企业筹集的所有者权益，有吸收直接投资、发行股票、联营、企业内部积累等方式。 债务融是企业向银行等债权人吸收的资金，有银行借款、发行债券、融资租赁、商业信用等方式。  (2)权益融资的利弊：利：增强企业信誉，降低财务风险，筹资数量大</w:t>
      </w:r>
      <w:r>
        <w:rPr>
          <w:rFonts w:hint="eastAsia" w:ascii="宋体" w:hAnsi="宋体" w:cs="宋体"/>
          <w:szCs w:val="21"/>
        </w:rPr>
        <w:t>弊：资金成本高，会分散企业控制权。</w:t>
      </w:r>
      <w:r>
        <w:rPr>
          <w:rFonts w:hint="eastAsia" w:hAnsi="宋体"/>
          <w:szCs w:val="21"/>
        </w:rPr>
        <w:t xml:space="preserve"> (3)负债融资的利弊：利：资金成本较低，财务杠杆作用，保证控制权 弊：企业有财务风险，筹资数额受限制</w:t>
      </w:r>
    </w:p>
    <w:p>
      <w:pPr>
        <w:rPr>
          <w:rFonts w:hint="eastAsia" w:hAnsi="宋体"/>
          <w:szCs w:val="21"/>
        </w:rPr>
      </w:pPr>
      <w:r>
        <w:rPr>
          <w:rFonts w:hint="eastAsia" w:hAnsi="宋体"/>
          <w:szCs w:val="21"/>
          <w:lang w:val="en-US" w:eastAsia="zh-CN"/>
        </w:rPr>
        <w:t>2</w:t>
      </w:r>
      <w:r>
        <w:rPr>
          <w:rFonts w:hint="eastAsia" w:hAnsi="宋体"/>
          <w:szCs w:val="21"/>
        </w:rPr>
        <w:t>、答：股利分配政策是有关企业发展和股利分配的一项重要方针和策略，其核心是正确处理公司与投资者之间、当前利益与长远利益之间产关系。常用的股利分配政策有：(1)剩余股利政策，即将企业的税后可分配利润首先用作内部融资，剩余部分用于向股东分配股利。(2)稳定的股利政策，即支付给股东的股利总是维持在一定水平上，不随盈利的增减变化而变化。(3)变动的股利政策。即企业支付给股东的股利随盈利额的变动而变动。(4)正常股利加额外股利的股利政策。企业一般每年按固定数额向股东支付正常股利，遇到盈利大幅增长时，再增加支付一部分额外股利。</w:t>
      </w:r>
    </w:p>
    <w:p>
      <w:pPr>
        <w:rPr>
          <w:rFonts w:hint="eastAsia" w:ascii="宋体" w:hAnsi="宋体" w:cs="宋体"/>
          <w:sz w:val="20"/>
          <w:szCs w:val="20"/>
        </w:rPr>
      </w:pPr>
      <w:r>
        <w:rPr>
          <w:rFonts w:hint="eastAsia" w:hAnsi="宋体"/>
          <w:szCs w:val="21"/>
          <w:lang w:val="en-US" w:eastAsia="zh-CN"/>
        </w:rPr>
        <w:t>3</w:t>
      </w:r>
      <w:r>
        <w:t xml:space="preserve"> </w:t>
      </w:r>
    </w:p>
    <w:p>
      <w:pPr>
        <w:numPr>
          <w:ilvl w:val="0"/>
          <w:numId w:val="2"/>
        </w:numPr>
        <w:rPr>
          <w:rFonts w:hint="eastAsia"/>
          <w:lang w:eastAsia="zh-CN"/>
        </w:rPr>
      </w:pPr>
      <w:r>
        <w:rPr>
          <w:rFonts w:hint="eastAsia"/>
          <w:lang w:eastAsia="zh-CN"/>
        </w:rPr>
        <w:t>计算题</w:t>
      </w:r>
    </w:p>
    <w:p>
      <w:pPr>
        <w:spacing w:line="400" w:lineRule="exact"/>
        <w:rPr>
          <w:rFonts w:hint="eastAsia"/>
          <w:szCs w:val="21"/>
        </w:rPr>
      </w:pPr>
      <w:r>
        <w:rPr>
          <w:rFonts w:hint="eastAsia"/>
          <w:lang w:val="en-US" w:eastAsia="zh-CN"/>
        </w:rPr>
        <w:t>1.</w:t>
      </w:r>
      <w:r>
        <w:rPr>
          <w:rFonts w:hint="eastAsia"/>
        </w:rPr>
        <w:t>(1).</w:t>
      </w:r>
      <w:r>
        <w:rPr>
          <w:rFonts w:hint="eastAsia"/>
          <w:szCs w:val="21"/>
        </w:rPr>
        <w:t xml:space="preserve"> 普通股成本=7%+1.5×(13%-7%)=16%</w:t>
      </w:r>
    </w:p>
    <w:p>
      <w:pPr>
        <w:spacing w:line="400" w:lineRule="exact"/>
        <w:ind w:left="780"/>
        <w:rPr>
          <w:rFonts w:hint="eastAsia"/>
          <w:szCs w:val="21"/>
        </w:rPr>
      </w:pPr>
      <w:r>
        <w:rPr>
          <w:rFonts w:hint="eastAsia"/>
          <w:szCs w:val="21"/>
        </w:rPr>
        <w:t>加权平均资金成本=(400/1000)×10%×(1-30%)+(600/1000)×16%=12.4%</w:t>
      </w:r>
    </w:p>
    <w:p>
      <w:pPr>
        <w:spacing w:line="400" w:lineRule="exact"/>
        <w:ind w:left="420"/>
        <w:rPr>
          <w:rFonts w:hint="eastAsia"/>
          <w:szCs w:val="21"/>
        </w:rPr>
      </w:pPr>
      <w:r>
        <w:rPr>
          <w:rFonts w:hint="eastAsia"/>
          <w:szCs w:val="21"/>
        </w:rPr>
        <w:t>(2)假设每股收益无差别点为EBIT</w:t>
      </w:r>
    </w:p>
    <w:p>
      <w:pPr>
        <w:spacing w:line="400" w:lineRule="exact"/>
        <w:ind w:left="420"/>
        <w:rPr>
          <w:rFonts w:hint="eastAsia"/>
          <w:szCs w:val="21"/>
        </w:rPr>
      </w:pPr>
      <w:r>
        <w:rPr>
          <w:rFonts w:hint="eastAsia"/>
          <w:szCs w:val="21"/>
        </w:rPr>
        <w:t>则:  (EBIT-400×10%-500×12%)×(1-30%)   =   (EBIT-400×10%)×(1-30%)</w:t>
      </w:r>
    </w:p>
    <w:p>
      <w:pPr>
        <w:spacing w:line="400" w:lineRule="exact"/>
        <w:ind w:firstLine="1590"/>
        <w:rPr>
          <w:rFonts w:hint="eastAsia"/>
        </w:rPr>
      </w:pPr>
      <w:r>
        <w:rPr>
          <w:sz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3314700</wp:posOffset>
                </wp:positionH>
                <wp:positionV relativeFrom="paragraph">
                  <wp:posOffset>22860</wp:posOffset>
                </wp:positionV>
                <wp:extent cx="1828800" cy="0"/>
                <wp:effectExtent l="0" t="0" r="0" b="0"/>
                <wp:wrapNone/>
                <wp:docPr id="2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2880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61pt;margin-top:1.8pt;height:0pt;width:144pt;z-index:251660288;mso-width-relative:page;mso-height-relative:page;" filled="f" stroked="t" coordsize="21600,21600" o:gfxdata="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FR0uaHUAAAABwEAAA8AAAAAAAAAAQAgAAAAIgAAAGRycy9kb3ducmV2LnhtbFBLAQIUABQA&#10;AAAIAIdO4kC9hKM59AEAAOQDAAAOAAAAAAAAAAEAIAAAACMBAABkcnMvZTJvRG9jLnhtbFBLBQYA&#10;AAAABgAGAFkBAACJBQAAAAA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571500</wp:posOffset>
                </wp:positionH>
                <wp:positionV relativeFrom="paragraph">
                  <wp:posOffset>0</wp:posOffset>
                </wp:positionV>
                <wp:extent cx="2057400" cy="0"/>
                <wp:effectExtent l="0" t="0" r="0" b="0"/>
                <wp:wrapNone/>
                <wp:docPr id="3" name="直接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5740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45pt;margin-top:0pt;height:0pt;width:162pt;z-index:251659264;mso-width-relative:page;mso-height-relative:page;" filled="f" stroked="t" coordsize="21600,21600" o:gfxdata="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BkScVXTAAAABAEAAA8AAAAAAAAAAQAgAAAAIgAAAGRycy9kb3ducmV2LnhtbFBLAQIUABQA&#10;AAAIAIdO4kA2st939QEAAOQDAAAOAAAAAAAAAAEAIAAAACIBAABkcnMvZTJvRG9jLnhtbFBLBQYA&#10;AAAABgAGAFkBAACJBQAAAAA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/>
        </w:rPr>
        <w:t>600/10                                  (600/10+500/10)</w:t>
      </w:r>
    </w:p>
    <w:p>
      <w:pPr>
        <w:spacing w:line="400" w:lineRule="exact"/>
        <w:ind w:firstLine="1590"/>
        <w:rPr>
          <w:rFonts w:hint="eastAsia"/>
        </w:rPr>
      </w:pPr>
      <w:r>
        <w:rPr>
          <w:rFonts w:hint="eastAsia"/>
        </w:rPr>
        <w:t>EBIT=172万</w:t>
      </w:r>
    </w:p>
    <w:p>
      <w:pPr>
        <w:spacing w:line="400" w:lineRule="exact"/>
        <w:ind w:firstLine="750"/>
        <w:rPr>
          <w:rFonts w:hint="default"/>
          <w:lang w:val="en-US" w:eastAsia="zh-CN"/>
        </w:rPr>
      </w:pPr>
      <w:r>
        <w:rPr>
          <w:rFonts w:hint="eastAsia"/>
        </w:rPr>
        <w:t>公司息税前利润为240万元大于172万元,应发行债券.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9A3FD4D"/>
    <w:multiLevelType w:val="singleLevel"/>
    <w:tmpl w:val="19A3FD4D"/>
    <w:lvl w:ilvl="0" w:tentative="0">
      <w:start w:val="5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2F9BF089"/>
    <w:multiLevelType w:val="singleLevel"/>
    <w:tmpl w:val="2F9BF089"/>
    <w:lvl w:ilvl="0" w:tentative="0">
      <w:start w:val="2"/>
      <w:numFmt w:val="decimal"/>
      <w:suff w:val="nothing"/>
      <w:lvlText w:val="%1、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91E24EC"/>
    <w:rsid w:val="003E6166"/>
    <w:rsid w:val="0F781087"/>
    <w:rsid w:val="170719BF"/>
    <w:rsid w:val="17B703DA"/>
    <w:rsid w:val="1E9F1ECF"/>
    <w:rsid w:val="4190052C"/>
    <w:rsid w:val="61211C83"/>
    <w:rsid w:val="691E24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/>
      <w:szCs w:val="20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Office_11.1.0.11045_F1E327BC-269C-435d-A152-05C5408002CA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2021-10-21T07:52:00Z</dcterms:created>
  <dc:creator>H姐姐</dc:creator>
  <cp:lastModifiedBy>H姐姐</cp:lastModifiedBy>
  <dcterms:modified xsi:type="dcterms:W3CDTF">2021-11-25T06:59:01Z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2052-11.1.0.11045</vt:lpwstr>
  </property>
  <property fmtid="{D5CDD505-2E9C-101B-9397-08002B2CF9AE}" pid="3" name="ICV">
    <vt:lpwstr>B5F4CC50AE5247788CF7E5E6D6E80D3B</vt:lpwstr>
  </property>
</Properties>
</file>