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1A9" w:rsidRDefault="00BF51A9" w:rsidP="00BF51A9">
      <w:pPr>
        <w:spacing w:line="420" w:lineRule="exact"/>
        <w:ind w:firstLineChars="300" w:firstLine="723"/>
        <w:jc w:val="center"/>
      </w:pPr>
      <w:r>
        <w:rPr>
          <w:rFonts w:ascii="宋体" w:hAnsi="宋体" w:hint="eastAsia"/>
          <w:b/>
          <w:bCs/>
          <w:sz w:val="24"/>
          <w:szCs w:val="24"/>
        </w:rPr>
        <w:t>财务管理复习资料</w:t>
      </w:r>
    </w:p>
    <w:p w:rsidR="00BF51A9" w:rsidRDefault="00BF51A9" w:rsidP="00BF51A9">
      <w:pPr>
        <w:spacing w:line="320" w:lineRule="exact"/>
        <w:rPr>
          <w:rFonts w:ascii="宋体" w:hAnsi="宋体"/>
          <w:b/>
          <w:bCs/>
          <w:color w:val="000000"/>
        </w:rPr>
      </w:pPr>
      <w:r>
        <w:rPr>
          <w:rFonts w:ascii="宋体" w:hAnsi="宋体" w:hint="eastAsia"/>
          <w:b/>
          <w:bCs/>
          <w:color w:val="000000"/>
        </w:rPr>
        <w:t>一、单项选择题</w:t>
      </w:r>
    </w:p>
    <w:p w:rsidR="00BF51A9" w:rsidRDefault="00BF51A9" w:rsidP="00BF51A9">
      <w:pPr>
        <w:rPr>
          <w:rFonts w:ascii="宋体" w:hAnsi="宋体" w:hint="eastAsia"/>
          <w:color w:val="000000"/>
        </w:rPr>
      </w:pPr>
      <w:r>
        <w:rPr>
          <w:rFonts w:ascii="宋体" w:hAnsi="宋体" w:hint="eastAsia"/>
          <w:color w:val="000000"/>
        </w:rPr>
        <w:t>1.某项目的期望收益率为10%，标准离差为4%，风险价值系数为10%，则该项目的风险收益率是（     ）</w:t>
      </w:r>
    </w:p>
    <w:p w:rsidR="00BF51A9" w:rsidRDefault="00BF51A9" w:rsidP="00BF51A9">
      <w:pPr>
        <w:rPr>
          <w:rFonts w:ascii="宋体" w:hAnsi="宋体" w:hint="eastAsia"/>
          <w:color w:val="000000"/>
        </w:rPr>
      </w:pPr>
      <w:r>
        <w:rPr>
          <w:rFonts w:ascii="宋体" w:hAnsi="宋体" w:hint="eastAsia"/>
          <w:color w:val="000000"/>
        </w:rPr>
        <w:t>A.3%     B.4%     C.8%    D.12%</w:t>
      </w:r>
    </w:p>
    <w:p w:rsidR="00BF51A9" w:rsidRDefault="00BF51A9" w:rsidP="00BF51A9">
      <w:pPr>
        <w:rPr>
          <w:rFonts w:ascii="宋体" w:hAnsi="宋体" w:hint="eastAsia"/>
          <w:color w:val="000000"/>
        </w:rPr>
      </w:pPr>
      <w:r>
        <w:rPr>
          <w:rFonts w:ascii="宋体" w:hAnsi="宋体" w:hint="eastAsia"/>
          <w:color w:val="000000"/>
        </w:rPr>
        <w:t>2.若干期以后发生的每期期末等额系列收付款项称为（     ）</w:t>
      </w:r>
    </w:p>
    <w:p w:rsidR="00BF51A9" w:rsidRDefault="00BF51A9" w:rsidP="00BF51A9">
      <w:pPr>
        <w:rPr>
          <w:rFonts w:ascii="宋体" w:hAnsi="宋体" w:hint="eastAsia"/>
          <w:color w:val="000000"/>
        </w:rPr>
      </w:pPr>
      <w:r>
        <w:rPr>
          <w:rFonts w:ascii="宋体" w:hAnsi="宋体" w:hint="eastAsia"/>
          <w:color w:val="000000"/>
        </w:rPr>
        <w:t>A.递</w:t>
      </w:r>
      <w:proofErr w:type="gramStart"/>
      <w:r>
        <w:rPr>
          <w:rFonts w:ascii="宋体" w:hAnsi="宋体" w:hint="eastAsia"/>
          <w:color w:val="000000"/>
        </w:rPr>
        <w:t>延年金</w:t>
      </w:r>
      <w:proofErr w:type="gramEnd"/>
      <w:r>
        <w:rPr>
          <w:rFonts w:ascii="宋体" w:hAnsi="宋体" w:hint="eastAsia"/>
          <w:color w:val="000000"/>
        </w:rPr>
        <w:t xml:space="preserve">     B.永续年金    C.后付年金  </w:t>
      </w:r>
      <w:r>
        <w:rPr>
          <w:rFonts w:ascii="宋体" w:hAnsi="宋体" w:hint="eastAsia"/>
          <w:color w:val="000000"/>
        </w:rPr>
        <w:tab/>
        <w:t>D.先付年金</w:t>
      </w:r>
    </w:p>
    <w:p w:rsidR="00BF51A9" w:rsidRDefault="00BF51A9" w:rsidP="00BF51A9">
      <w:pPr>
        <w:rPr>
          <w:rFonts w:ascii="宋体" w:hAnsi="宋体" w:hint="eastAsia"/>
          <w:color w:val="000000"/>
        </w:rPr>
      </w:pPr>
      <w:r>
        <w:rPr>
          <w:rFonts w:ascii="宋体" w:hAnsi="宋体" w:hint="eastAsia"/>
          <w:color w:val="000000"/>
        </w:rPr>
        <w:t>3.下列各项中，计算债券发行价格时不需考虑的因素是（     ）</w:t>
      </w:r>
    </w:p>
    <w:p w:rsidR="00BF51A9" w:rsidRDefault="00BF51A9" w:rsidP="00BF51A9">
      <w:pPr>
        <w:rPr>
          <w:rFonts w:ascii="宋体" w:hAnsi="宋体" w:hint="eastAsia"/>
          <w:color w:val="000000"/>
        </w:rPr>
      </w:pPr>
      <w:r>
        <w:rPr>
          <w:rFonts w:ascii="宋体" w:hAnsi="宋体" w:hint="eastAsia"/>
          <w:color w:val="000000"/>
        </w:rPr>
        <w:t>A. 发行日期    B.市场利率    C.债券期限</w:t>
      </w:r>
      <w:r>
        <w:rPr>
          <w:rFonts w:ascii="宋体" w:hAnsi="宋体" w:hint="eastAsia"/>
          <w:color w:val="000000"/>
        </w:rPr>
        <w:tab/>
        <w:t>D. 票面利率</w:t>
      </w:r>
    </w:p>
    <w:p w:rsidR="00BF51A9" w:rsidRDefault="00BF51A9" w:rsidP="00BF51A9">
      <w:pPr>
        <w:rPr>
          <w:rFonts w:ascii="宋体" w:hAnsi="宋体" w:hint="eastAsia"/>
          <w:color w:val="000000"/>
        </w:rPr>
      </w:pPr>
      <w:r>
        <w:rPr>
          <w:rFonts w:ascii="宋体" w:hAnsi="宋体" w:hint="eastAsia"/>
          <w:color w:val="000000"/>
        </w:rPr>
        <w:t>4.资金市场按触资期限长短可以分为（      ）</w:t>
      </w:r>
    </w:p>
    <w:p w:rsidR="00BF51A9" w:rsidRDefault="00BF51A9" w:rsidP="00BF51A9">
      <w:pPr>
        <w:rPr>
          <w:rFonts w:ascii="宋体" w:hAnsi="宋体" w:hint="eastAsia"/>
          <w:color w:val="000000"/>
        </w:rPr>
      </w:pPr>
      <w:r>
        <w:rPr>
          <w:rFonts w:ascii="宋体" w:hAnsi="宋体" w:hint="eastAsia"/>
          <w:color w:val="000000"/>
        </w:rPr>
        <w:t>A.证券市场与借贷市场    B.一级市场与二级市场   C.货币市场与借贷市场</w:t>
      </w:r>
      <w:r>
        <w:rPr>
          <w:rFonts w:ascii="宋体" w:hAnsi="宋体" w:hint="eastAsia"/>
          <w:color w:val="000000"/>
        </w:rPr>
        <w:tab/>
        <w:t xml:space="preserve"> D.货币市场与资本市场</w:t>
      </w:r>
    </w:p>
    <w:p w:rsidR="00BF51A9" w:rsidRDefault="00BF51A9" w:rsidP="00BF51A9">
      <w:pPr>
        <w:rPr>
          <w:rFonts w:ascii="宋体" w:hAnsi="宋体" w:hint="eastAsia"/>
          <w:color w:val="000000"/>
        </w:rPr>
      </w:pPr>
      <w:r>
        <w:rPr>
          <w:rFonts w:ascii="宋体" w:hAnsi="宋体" w:hint="eastAsia"/>
          <w:color w:val="000000"/>
        </w:rPr>
        <w:t>5.与发行债券筹资相比，股票筹资的特点是（      ）</w:t>
      </w:r>
    </w:p>
    <w:p w:rsidR="00BF51A9" w:rsidRDefault="00BF51A9" w:rsidP="00BF51A9">
      <w:pPr>
        <w:rPr>
          <w:rFonts w:ascii="宋体" w:hAnsi="宋体" w:hint="eastAsia"/>
          <w:color w:val="000000"/>
        </w:rPr>
      </w:pPr>
      <w:r>
        <w:rPr>
          <w:rFonts w:ascii="宋体" w:hAnsi="宋体" w:hint="eastAsia"/>
          <w:color w:val="000000"/>
        </w:rPr>
        <w:t>A.财务风险较大    B.资本成本较高    C.偿还压力较大</w:t>
      </w:r>
      <w:r>
        <w:rPr>
          <w:rFonts w:ascii="宋体" w:hAnsi="宋体" w:hint="eastAsia"/>
          <w:color w:val="000000"/>
        </w:rPr>
        <w:tab/>
        <w:t>D.筹资数额有限</w:t>
      </w:r>
    </w:p>
    <w:p w:rsidR="00BF51A9" w:rsidRDefault="00BF51A9" w:rsidP="00BF51A9">
      <w:pPr>
        <w:rPr>
          <w:rFonts w:ascii="宋体" w:hAnsi="宋体" w:hint="eastAsia"/>
          <w:color w:val="000000"/>
        </w:rPr>
      </w:pPr>
      <w:r>
        <w:rPr>
          <w:rFonts w:ascii="宋体" w:hAnsi="宋体" w:hint="eastAsia"/>
          <w:color w:val="000000"/>
        </w:rPr>
        <w:t>6.企业进行资本结构决策的基本依据是（      ）</w:t>
      </w:r>
    </w:p>
    <w:p w:rsidR="00BF51A9" w:rsidRDefault="00BF51A9" w:rsidP="00BF51A9">
      <w:pPr>
        <w:rPr>
          <w:rFonts w:ascii="宋体" w:hAnsi="宋体" w:hint="eastAsia"/>
          <w:color w:val="000000"/>
        </w:rPr>
      </w:pPr>
      <w:r>
        <w:rPr>
          <w:rFonts w:ascii="宋体" w:hAnsi="宋体" w:hint="eastAsia"/>
          <w:color w:val="000000"/>
        </w:rPr>
        <w:t>A.权益资本成本    B.综合资本成本    C.债务资本成本</w:t>
      </w:r>
      <w:r>
        <w:rPr>
          <w:rFonts w:ascii="宋体" w:hAnsi="宋体" w:hint="eastAsia"/>
          <w:color w:val="000000"/>
        </w:rPr>
        <w:tab/>
        <w:t>D.个别资本成本</w:t>
      </w:r>
    </w:p>
    <w:p w:rsidR="00BF51A9" w:rsidRDefault="00BF51A9" w:rsidP="00BF51A9">
      <w:pPr>
        <w:rPr>
          <w:rFonts w:ascii="宋体" w:hAnsi="宋体" w:hint="eastAsia"/>
          <w:color w:val="000000"/>
        </w:rPr>
      </w:pPr>
      <w:r>
        <w:rPr>
          <w:rFonts w:ascii="宋体" w:hAnsi="宋体" w:hint="eastAsia"/>
          <w:color w:val="000000"/>
        </w:rPr>
        <w:t>7.下列项目中，不属于应收账款成本的是（      ）</w:t>
      </w:r>
    </w:p>
    <w:p w:rsidR="00BF51A9" w:rsidRDefault="00BF51A9" w:rsidP="00BF51A9">
      <w:pPr>
        <w:rPr>
          <w:rFonts w:ascii="宋体" w:hAnsi="宋体" w:hint="eastAsia"/>
          <w:color w:val="000000"/>
        </w:rPr>
      </w:pPr>
      <w:r>
        <w:rPr>
          <w:rFonts w:ascii="宋体" w:hAnsi="宋体" w:hint="eastAsia"/>
          <w:color w:val="000000"/>
        </w:rPr>
        <w:t xml:space="preserve">A.管理成本     B.机会成本     C.转换成本 </w:t>
      </w:r>
      <w:r>
        <w:rPr>
          <w:rFonts w:ascii="宋体" w:hAnsi="宋体" w:hint="eastAsia"/>
          <w:color w:val="000000"/>
        </w:rPr>
        <w:tab/>
        <w:t>D.坏账成本</w:t>
      </w:r>
    </w:p>
    <w:p w:rsidR="00BF51A9" w:rsidRDefault="00BF51A9" w:rsidP="00BF51A9">
      <w:pPr>
        <w:rPr>
          <w:rFonts w:ascii="宋体" w:hAnsi="宋体" w:hint="eastAsia"/>
          <w:color w:val="000000"/>
        </w:rPr>
      </w:pPr>
      <w:r>
        <w:rPr>
          <w:rFonts w:ascii="宋体" w:hAnsi="宋体" w:hint="eastAsia"/>
          <w:color w:val="000000"/>
        </w:rPr>
        <w:t>8.下列项目中，可用来衡量企业信用标准的是（      ）</w:t>
      </w:r>
    </w:p>
    <w:p w:rsidR="00BF51A9" w:rsidRDefault="00BF51A9" w:rsidP="00BF51A9">
      <w:pPr>
        <w:rPr>
          <w:rFonts w:ascii="宋体" w:hAnsi="宋体" w:hint="eastAsia"/>
          <w:color w:val="000000"/>
        </w:rPr>
      </w:pPr>
      <w:r>
        <w:rPr>
          <w:rFonts w:ascii="宋体" w:hAnsi="宋体" w:hint="eastAsia"/>
          <w:color w:val="000000"/>
        </w:rPr>
        <w:t xml:space="preserve">A.信用期限    B.折扣期限    C.现金折扣率 </w:t>
      </w:r>
      <w:r>
        <w:rPr>
          <w:rFonts w:ascii="宋体" w:hAnsi="宋体" w:hint="eastAsia"/>
          <w:color w:val="000000"/>
        </w:rPr>
        <w:tab/>
        <w:t>D.预期的坏账损失率</w:t>
      </w:r>
    </w:p>
    <w:p w:rsidR="00BF51A9" w:rsidRDefault="00BF51A9" w:rsidP="00BF51A9">
      <w:pPr>
        <w:rPr>
          <w:rFonts w:ascii="宋体" w:hAnsi="宋体" w:hint="eastAsia"/>
          <w:color w:val="000000"/>
        </w:rPr>
      </w:pPr>
      <w:r>
        <w:rPr>
          <w:rFonts w:ascii="宋体" w:hAnsi="宋体" w:hint="eastAsia"/>
          <w:color w:val="000000"/>
        </w:rPr>
        <w:t>9.与债券投资相比，下列属于股票投资特点的是（      ）</w:t>
      </w:r>
    </w:p>
    <w:p w:rsidR="00BF51A9" w:rsidRDefault="00BF51A9" w:rsidP="00BF51A9">
      <w:pPr>
        <w:rPr>
          <w:rFonts w:ascii="宋体" w:hAnsi="宋体" w:hint="eastAsia"/>
          <w:color w:val="000000"/>
        </w:rPr>
      </w:pPr>
      <w:r>
        <w:rPr>
          <w:rFonts w:ascii="宋体" w:hAnsi="宋体" w:hint="eastAsia"/>
          <w:color w:val="000000"/>
        </w:rPr>
        <w:t>A.投资风险较大  B.有到期日  C.收益稳定性较强</w:t>
      </w:r>
      <w:r>
        <w:rPr>
          <w:rFonts w:ascii="宋体" w:hAnsi="宋体" w:hint="eastAsia"/>
          <w:color w:val="000000"/>
        </w:rPr>
        <w:tab/>
        <w:t>D.无权参与被投资企业经营管理</w:t>
      </w:r>
    </w:p>
    <w:p w:rsidR="00BF51A9" w:rsidRDefault="00BF51A9" w:rsidP="00BF51A9">
      <w:pPr>
        <w:rPr>
          <w:rFonts w:ascii="宋体" w:hAnsi="宋体" w:hint="eastAsia"/>
          <w:color w:val="000000"/>
        </w:rPr>
      </w:pPr>
      <w:r>
        <w:rPr>
          <w:rFonts w:ascii="宋体" w:hAnsi="宋体" w:hint="eastAsia"/>
          <w:color w:val="000000"/>
        </w:rPr>
        <w:t>10.某项目原始投资额的现值为280万元，净现值为70万元，则该项目的获利指数是（      ）</w:t>
      </w:r>
    </w:p>
    <w:p w:rsidR="00BF51A9" w:rsidRDefault="00BF51A9" w:rsidP="00BF51A9">
      <w:pPr>
        <w:rPr>
          <w:rFonts w:ascii="宋体" w:hAnsi="宋体" w:hint="eastAsia"/>
          <w:color w:val="000000"/>
        </w:rPr>
      </w:pPr>
      <w:r>
        <w:rPr>
          <w:rFonts w:ascii="宋体" w:hAnsi="宋体" w:hint="eastAsia"/>
          <w:color w:val="000000"/>
        </w:rPr>
        <w:t>A.0.25     B.0.75          C.1.25</w:t>
      </w:r>
      <w:r>
        <w:rPr>
          <w:rFonts w:ascii="宋体" w:hAnsi="宋体" w:hint="eastAsia"/>
          <w:color w:val="000000"/>
        </w:rPr>
        <w:tab/>
        <w:t>D.1.30</w:t>
      </w:r>
    </w:p>
    <w:p w:rsidR="00BF51A9" w:rsidRDefault="00BF51A9" w:rsidP="00BF51A9">
      <w:pPr>
        <w:rPr>
          <w:rFonts w:ascii="宋体" w:hAnsi="宋体" w:hint="eastAsia"/>
          <w:b/>
          <w:bCs/>
          <w:color w:val="000000"/>
        </w:rPr>
      </w:pPr>
      <w:r>
        <w:rPr>
          <w:rFonts w:ascii="宋体" w:hAnsi="宋体" w:hint="eastAsia"/>
          <w:b/>
          <w:bCs/>
          <w:color w:val="000000"/>
        </w:rPr>
        <w:t>二、判断题</w:t>
      </w:r>
    </w:p>
    <w:p w:rsidR="00BF51A9" w:rsidRDefault="00BF51A9" w:rsidP="00BF51A9">
      <w:pPr>
        <w:spacing w:line="320" w:lineRule="exact"/>
        <w:rPr>
          <w:rFonts w:hint="eastAsia"/>
          <w:color w:val="000000"/>
        </w:rPr>
      </w:pPr>
      <w:r>
        <w:rPr>
          <w:color w:val="000000"/>
        </w:rPr>
        <w:t>1.</w:t>
      </w:r>
      <w:r>
        <w:rPr>
          <w:rFonts w:ascii="宋体" w:hAnsi="宋体" w:hint="eastAsia"/>
          <w:color w:val="000000"/>
        </w:rPr>
        <w:t>在项目投资决策中，净现金流量是指经营期内每年现金流入量与同年现金流出量之间的差额所形成的序列指标。（</w:t>
      </w:r>
      <w:r>
        <w:rPr>
          <w:rFonts w:hint="eastAsia"/>
          <w:color w:val="000000"/>
        </w:rPr>
        <w:t xml:space="preserve"> </w:t>
      </w:r>
      <w:r>
        <w:rPr>
          <w:color w:val="000000"/>
        </w:rPr>
        <w:t xml:space="preserve">    </w:t>
      </w:r>
      <w:r>
        <w:rPr>
          <w:rFonts w:ascii="宋体" w:hAnsi="宋体" w:hint="eastAsia"/>
          <w:color w:val="000000"/>
        </w:rPr>
        <w:t>）</w:t>
      </w:r>
    </w:p>
    <w:p w:rsidR="00BF51A9" w:rsidRDefault="00BF51A9" w:rsidP="00BF51A9">
      <w:pPr>
        <w:spacing w:line="320" w:lineRule="exact"/>
        <w:rPr>
          <w:color w:val="000000"/>
        </w:rPr>
      </w:pPr>
      <w:r>
        <w:rPr>
          <w:color w:val="000000"/>
        </w:rPr>
        <w:t>2.</w:t>
      </w:r>
      <w:r>
        <w:rPr>
          <w:rFonts w:ascii="宋体" w:hAnsi="宋体" w:hint="eastAsia"/>
          <w:color w:val="000000"/>
        </w:rPr>
        <w:t>购买国债虽然违约风险小，也几乎没有破产风险，但仍会面临利息率风险和购买力风险。（</w:t>
      </w:r>
      <w:r>
        <w:rPr>
          <w:rFonts w:hint="eastAsia"/>
          <w:color w:val="000000"/>
        </w:rPr>
        <w:t xml:space="preserve"> </w:t>
      </w:r>
      <w:r>
        <w:rPr>
          <w:color w:val="000000"/>
        </w:rPr>
        <w:t xml:space="preserve">    </w:t>
      </w:r>
      <w:r>
        <w:rPr>
          <w:rFonts w:ascii="宋体" w:hAnsi="宋体" w:hint="eastAsia"/>
          <w:color w:val="000000"/>
        </w:rPr>
        <w:t>）</w:t>
      </w:r>
    </w:p>
    <w:p w:rsidR="00BF51A9" w:rsidRDefault="00BF51A9" w:rsidP="00BF51A9">
      <w:pPr>
        <w:spacing w:line="320" w:lineRule="exact"/>
        <w:rPr>
          <w:color w:val="000000"/>
        </w:rPr>
      </w:pPr>
      <w:r>
        <w:rPr>
          <w:rFonts w:hint="eastAsia"/>
          <w:color w:val="000000"/>
        </w:rPr>
        <w:t>3</w:t>
      </w:r>
      <w:r>
        <w:rPr>
          <w:color w:val="000000"/>
        </w:rPr>
        <w:t>.</w:t>
      </w:r>
      <w:r>
        <w:rPr>
          <w:rFonts w:ascii="宋体" w:hAnsi="宋体" w:hint="eastAsia"/>
          <w:color w:val="000000"/>
        </w:rPr>
        <w:t>与发放现金股利相比，股票回购可以提高每股收益，使股价上升或将股价维持在一个合理的水平上。（</w:t>
      </w:r>
      <w:r>
        <w:rPr>
          <w:rFonts w:hint="eastAsia"/>
          <w:color w:val="000000"/>
        </w:rPr>
        <w:t xml:space="preserve"> </w:t>
      </w:r>
      <w:r>
        <w:rPr>
          <w:color w:val="000000"/>
        </w:rPr>
        <w:t xml:space="preserve">    </w:t>
      </w:r>
      <w:r>
        <w:rPr>
          <w:rFonts w:ascii="宋体" w:hAnsi="宋体" w:hint="eastAsia"/>
          <w:color w:val="000000"/>
        </w:rPr>
        <w:t>）</w:t>
      </w:r>
    </w:p>
    <w:p w:rsidR="00BF51A9" w:rsidRDefault="00BF51A9" w:rsidP="00BF51A9">
      <w:pPr>
        <w:spacing w:line="320" w:lineRule="exact"/>
        <w:rPr>
          <w:color w:val="000000"/>
        </w:rPr>
      </w:pPr>
      <w:r>
        <w:rPr>
          <w:rFonts w:hint="eastAsia"/>
          <w:color w:val="000000"/>
        </w:rPr>
        <w:t>4</w:t>
      </w:r>
      <w:r>
        <w:rPr>
          <w:color w:val="000000"/>
        </w:rPr>
        <w:t>.</w:t>
      </w:r>
      <w:r>
        <w:rPr>
          <w:rFonts w:ascii="宋体" w:hAnsi="宋体" w:hint="eastAsia"/>
          <w:color w:val="000000"/>
        </w:rPr>
        <w:t>在财务分析中，将通过对比两期或连续数期财务报告中的相同指标，以说明企业财务状况或经营成果变动趋势的方法称为水平分析法。（</w:t>
      </w:r>
      <w:r>
        <w:rPr>
          <w:rFonts w:hint="eastAsia"/>
          <w:color w:val="000000"/>
        </w:rPr>
        <w:t xml:space="preserve"> </w:t>
      </w:r>
      <w:r>
        <w:rPr>
          <w:color w:val="000000"/>
        </w:rPr>
        <w:t xml:space="preserve">    </w:t>
      </w:r>
      <w:r>
        <w:rPr>
          <w:rFonts w:ascii="宋体" w:hAnsi="宋体" w:hint="eastAsia"/>
          <w:color w:val="000000"/>
        </w:rPr>
        <w:t>）</w:t>
      </w:r>
    </w:p>
    <w:p w:rsidR="00BF51A9" w:rsidRDefault="00BF51A9" w:rsidP="00BF51A9">
      <w:pPr>
        <w:spacing w:line="320" w:lineRule="exact"/>
        <w:rPr>
          <w:color w:val="000000"/>
        </w:rPr>
      </w:pPr>
      <w:r>
        <w:rPr>
          <w:color w:val="000000"/>
        </w:rPr>
        <w:t>5.</w:t>
      </w:r>
      <w:r>
        <w:rPr>
          <w:rFonts w:ascii="宋体" w:hAnsi="宋体" w:hint="eastAsia"/>
          <w:color w:val="000000"/>
        </w:rPr>
        <w:t>财务管理环境是指对企业财务活动和财务管理产生影响作用的企业各种外部条件的统称。（</w:t>
      </w:r>
      <w:r>
        <w:rPr>
          <w:rFonts w:hint="eastAsia"/>
          <w:color w:val="000000"/>
        </w:rPr>
        <w:t xml:space="preserve"> </w:t>
      </w:r>
      <w:r>
        <w:rPr>
          <w:color w:val="000000"/>
        </w:rPr>
        <w:t xml:space="preserve">    </w:t>
      </w:r>
      <w:r>
        <w:rPr>
          <w:rFonts w:ascii="宋体" w:hAnsi="宋体" w:hint="eastAsia"/>
          <w:color w:val="000000"/>
        </w:rPr>
        <w:t>）</w:t>
      </w:r>
    </w:p>
    <w:p w:rsidR="00BF51A9" w:rsidRDefault="00BF51A9" w:rsidP="00BF51A9">
      <w:pPr>
        <w:spacing w:line="320" w:lineRule="exact"/>
        <w:rPr>
          <w:color w:val="000000"/>
        </w:rPr>
      </w:pPr>
      <w:r>
        <w:rPr>
          <w:color w:val="000000"/>
        </w:rPr>
        <w:t>6.</w:t>
      </w:r>
      <w:r>
        <w:rPr>
          <w:rFonts w:ascii="宋体" w:hAnsi="宋体" w:hint="eastAsia"/>
          <w:color w:val="000000"/>
        </w:rPr>
        <w:t>在有关资金时间价值指标的计算过程中，普通年金现值与普通年金终值是互为逆运算的关系。（</w:t>
      </w:r>
      <w:r>
        <w:rPr>
          <w:rFonts w:hint="eastAsia"/>
          <w:color w:val="000000"/>
        </w:rPr>
        <w:t xml:space="preserve"> </w:t>
      </w:r>
      <w:r>
        <w:rPr>
          <w:color w:val="000000"/>
        </w:rPr>
        <w:t xml:space="preserve">    </w:t>
      </w:r>
      <w:r>
        <w:rPr>
          <w:rFonts w:ascii="宋体" w:hAnsi="宋体" w:hint="eastAsia"/>
          <w:color w:val="000000"/>
        </w:rPr>
        <w:t>）</w:t>
      </w:r>
    </w:p>
    <w:p w:rsidR="00BF51A9" w:rsidRDefault="00BF51A9" w:rsidP="00BF51A9">
      <w:pPr>
        <w:spacing w:line="320" w:lineRule="exact"/>
        <w:rPr>
          <w:color w:val="000000"/>
        </w:rPr>
      </w:pPr>
      <w:r>
        <w:rPr>
          <w:color w:val="000000"/>
        </w:rPr>
        <w:t>7.</w:t>
      </w:r>
      <w:r>
        <w:rPr>
          <w:rFonts w:ascii="宋体" w:hAnsi="宋体" w:hint="eastAsia"/>
          <w:color w:val="000000"/>
        </w:rPr>
        <w:t>在财务管理中，依据财务比率与资金需求量之间的关系预测资金需求量的方法称为比率预测法。（</w:t>
      </w:r>
      <w:r>
        <w:rPr>
          <w:rFonts w:hint="eastAsia"/>
          <w:color w:val="000000"/>
        </w:rPr>
        <w:t xml:space="preserve"> </w:t>
      </w:r>
      <w:r>
        <w:rPr>
          <w:color w:val="000000"/>
        </w:rPr>
        <w:t xml:space="preserve">     </w:t>
      </w:r>
      <w:r>
        <w:rPr>
          <w:rFonts w:ascii="宋体" w:hAnsi="宋体" w:hint="eastAsia"/>
          <w:color w:val="000000"/>
        </w:rPr>
        <w:t>）</w:t>
      </w:r>
    </w:p>
    <w:p w:rsidR="00BF51A9" w:rsidRDefault="00BF51A9" w:rsidP="00BF51A9">
      <w:pPr>
        <w:spacing w:line="320" w:lineRule="exact"/>
        <w:rPr>
          <w:color w:val="000000"/>
        </w:rPr>
      </w:pPr>
      <w:r>
        <w:rPr>
          <w:color w:val="000000"/>
        </w:rPr>
        <w:t>8.</w:t>
      </w:r>
      <w:r>
        <w:rPr>
          <w:rFonts w:ascii="宋体" w:hAnsi="宋体" w:hint="eastAsia"/>
          <w:color w:val="000000"/>
        </w:rPr>
        <w:t>根据财务管理的理论，必要投资收益等于期望投资收益、无风险收益和风险收益之</w:t>
      </w:r>
      <w:proofErr w:type="gramStart"/>
      <w:r>
        <w:rPr>
          <w:rFonts w:ascii="宋体" w:hAnsi="宋体" w:hint="eastAsia"/>
          <w:color w:val="000000"/>
        </w:rPr>
        <w:t>和</w:t>
      </w:r>
      <w:proofErr w:type="gramEnd"/>
      <w:r>
        <w:rPr>
          <w:rFonts w:ascii="宋体" w:hAnsi="宋体" w:hint="eastAsia"/>
          <w:color w:val="000000"/>
        </w:rPr>
        <w:t>。（</w:t>
      </w:r>
      <w:r>
        <w:rPr>
          <w:rFonts w:hint="eastAsia"/>
          <w:color w:val="000000"/>
        </w:rPr>
        <w:t xml:space="preserve"> </w:t>
      </w:r>
      <w:r>
        <w:rPr>
          <w:color w:val="000000"/>
        </w:rPr>
        <w:t xml:space="preserve">    </w:t>
      </w:r>
      <w:r>
        <w:rPr>
          <w:rFonts w:ascii="宋体" w:hAnsi="宋体" w:hint="eastAsia"/>
          <w:color w:val="000000"/>
        </w:rPr>
        <w:t>）</w:t>
      </w:r>
    </w:p>
    <w:p w:rsidR="00BF51A9" w:rsidRDefault="00BF51A9" w:rsidP="00BF51A9">
      <w:pPr>
        <w:spacing w:line="320" w:lineRule="exact"/>
        <w:rPr>
          <w:color w:val="000000"/>
        </w:rPr>
      </w:pPr>
      <w:r>
        <w:rPr>
          <w:color w:val="000000"/>
        </w:rPr>
        <w:t>9.</w:t>
      </w:r>
      <w:r>
        <w:rPr>
          <w:rFonts w:ascii="宋体" w:hAnsi="宋体"/>
          <w:color w:val="000000"/>
        </w:rPr>
        <w:t>如果企业的借款能力较</w:t>
      </w:r>
      <w:r>
        <w:rPr>
          <w:rFonts w:ascii="宋体" w:hAnsi="宋体" w:hint="eastAsia"/>
          <w:color w:val="000000"/>
        </w:rPr>
        <w:t>强</w:t>
      </w:r>
      <w:r>
        <w:rPr>
          <w:rFonts w:ascii="宋体" w:hAnsi="宋体"/>
          <w:color w:val="000000"/>
        </w:rPr>
        <w:t>，保障程度较</w:t>
      </w:r>
      <w:r>
        <w:rPr>
          <w:rFonts w:ascii="宋体" w:hAnsi="宋体" w:hint="eastAsia"/>
          <w:color w:val="000000"/>
        </w:rPr>
        <w:t>高</w:t>
      </w:r>
      <w:r>
        <w:rPr>
          <w:rFonts w:ascii="宋体" w:hAnsi="宋体"/>
          <w:color w:val="000000"/>
        </w:rPr>
        <w:t>，则可适当</w:t>
      </w:r>
      <w:r>
        <w:rPr>
          <w:rFonts w:ascii="宋体" w:hAnsi="宋体" w:hint="eastAsia"/>
          <w:color w:val="000000"/>
        </w:rPr>
        <w:t>降低</w:t>
      </w:r>
      <w:r>
        <w:rPr>
          <w:rFonts w:ascii="宋体" w:hAnsi="宋体"/>
          <w:color w:val="000000"/>
        </w:rPr>
        <w:t xml:space="preserve">预防性现金的数额。（ </w:t>
      </w:r>
      <w:r>
        <w:rPr>
          <w:rFonts w:hint="eastAsia"/>
          <w:color w:val="000000"/>
        </w:rPr>
        <w:t xml:space="preserve"> </w:t>
      </w:r>
      <w:r>
        <w:rPr>
          <w:color w:val="000000"/>
        </w:rPr>
        <w:t xml:space="preserve">  </w:t>
      </w:r>
      <w:r>
        <w:rPr>
          <w:rFonts w:ascii="宋体" w:hAnsi="宋体"/>
          <w:color w:val="000000"/>
        </w:rPr>
        <w:t>）</w:t>
      </w:r>
    </w:p>
    <w:p w:rsidR="00BF51A9" w:rsidRDefault="00BF51A9" w:rsidP="00BF51A9">
      <w:pPr>
        <w:autoSpaceDE w:val="0"/>
        <w:autoSpaceDN w:val="0"/>
        <w:adjustRightInd w:val="0"/>
        <w:spacing w:line="315" w:lineRule="atLeast"/>
        <w:jc w:val="left"/>
        <w:rPr>
          <w:rFonts w:ascii="宋体" w:hAnsi="宋体"/>
        </w:rPr>
      </w:pPr>
      <w:r>
        <w:rPr>
          <w:color w:val="000000"/>
        </w:rPr>
        <w:t>10</w:t>
      </w:r>
      <w:r>
        <w:rPr>
          <w:rFonts w:ascii="宋体" w:hAnsi="宋体"/>
          <w:color w:val="000000"/>
        </w:rPr>
        <w:t>一般情况下，使某投资方案的净现值</w:t>
      </w:r>
      <w:r>
        <w:rPr>
          <w:rFonts w:ascii="宋体" w:hAnsi="宋体" w:hint="eastAsia"/>
          <w:color w:val="000000"/>
        </w:rPr>
        <w:t>大</w:t>
      </w:r>
      <w:r>
        <w:rPr>
          <w:rFonts w:ascii="宋体" w:hAnsi="宋体"/>
          <w:color w:val="000000"/>
        </w:rPr>
        <w:t>于零的折现率，一定</w:t>
      </w:r>
      <w:r>
        <w:rPr>
          <w:rFonts w:ascii="宋体" w:hAnsi="宋体" w:hint="eastAsia"/>
          <w:color w:val="000000"/>
        </w:rPr>
        <w:t>高于</w:t>
      </w:r>
      <w:r>
        <w:rPr>
          <w:rFonts w:ascii="宋体" w:hAnsi="宋体"/>
          <w:color w:val="000000"/>
        </w:rPr>
        <w:t>该投资方案的内含报酬率。</w:t>
      </w:r>
      <w:r>
        <w:rPr>
          <w:rFonts w:ascii="宋体" w:hAnsi="宋体"/>
          <w:color w:val="000000"/>
        </w:rPr>
        <w:lastRenderedPageBreak/>
        <w:t xml:space="preserve">（ </w:t>
      </w:r>
      <w:r>
        <w:rPr>
          <w:rFonts w:hint="eastAsia"/>
          <w:color w:val="000000"/>
        </w:rPr>
        <w:t xml:space="preserve">  </w:t>
      </w:r>
      <w:r>
        <w:rPr>
          <w:rFonts w:ascii="宋体" w:hAnsi="宋体"/>
          <w:color w:val="000000"/>
        </w:rPr>
        <w:t>）</w:t>
      </w:r>
    </w:p>
    <w:p w:rsidR="00BF51A9" w:rsidRDefault="00BF51A9" w:rsidP="00BF51A9">
      <w:pPr>
        <w:pStyle w:val="a3"/>
        <w:spacing w:before="0" w:beforeAutospacing="0" w:after="0" w:afterAutospacing="0"/>
        <w:rPr>
          <w:rFonts w:hint="eastAsia"/>
          <w:b/>
          <w:bCs/>
          <w:sz w:val="21"/>
          <w:szCs w:val="21"/>
        </w:rPr>
      </w:pPr>
      <w:r>
        <w:rPr>
          <w:rFonts w:hint="eastAsia"/>
          <w:b/>
          <w:bCs/>
          <w:sz w:val="21"/>
          <w:szCs w:val="21"/>
        </w:rPr>
        <w:t>三、名词解释</w:t>
      </w:r>
    </w:p>
    <w:p w:rsidR="00BF51A9" w:rsidRDefault="00BF51A9" w:rsidP="00BF51A9">
      <w:pPr>
        <w:autoSpaceDE w:val="0"/>
        <w:autoSpaceDN w:val="0"/>
        <w:adjustRightInd w:val="0"/>
        <w:spacing w:line="315" w:lineRule="atLeast"/>
        <w:jc w:val="left"/>
        <w:rPr>
          <w:rFonts w:ascii="宋体" w:hAnsi="宋体" w:hint="eastAsia"/>
        </w:rPr>
      </w:pPr>
      <w:r>
        <w:rPr>
          <w:rFonts w:ascii="宋体" w:hAnsi="宋体" w:hint="eastAsia"/>
        </w:rPr>
        <w:t>1.财务管理</w:t>
      </w:r>
    </w:p>
    <w:p w:rsidR="00BF51A9" w:rsidRDefault="00BF51A9" w:rsidP="00BF51A9">
      <w:pPr>
        <w:autoSpaceDE w:val="0"/>
        <w:autoSpaceDN w:val="0"/>
        <w:adjustRightInd w:val="0"/>
        <w:spacing w:line="315" w:lineRule="atLeast"/>
        <w:jc w:val="left"/>
        <w:rPr>
          <w:rFonts w:ascii="宋体" w:hAnsi="宋体" w:hint="eastAsia"/>
        </w:rPr>
      </w:pPr>
      <w:r>
        <w:rPr>
          <w:rFonts w:ascii="宋体" w:hAnsi="宋体" w:hint="eastAsia"/>
        </w:rPr>
        <w:t>2.资本结构</w:t>
      </w:r>
    </w:p>
    <w:p w:rsidR="00BF51A9" w:rsidRDefault="00BF51A9" w:rsidP="00BF51A9">
      <w:pPr>
        <w:autoSpaceDE w:val="0"/>
        <w:autoSpaceDN w:val="0"/>
        <w:adjustRightInd w:val="0"/>
        <w:spacing w:line="315" w:lineRule="atLeast"/>
        <w:jc w:val="left"/>
        <w:rPr>
          <w:rFonts w:ascii="宋体" w:hAnsi="宋体" w:hint="eastAsia"/>
        </w:rPr>
      </w:pPr>
      <w:r>
        <w:rPr>
          <w:rFonts w:ascii="宋体" w:hAnsi="宋体" w:hint="eastAsia"/>
        </w:rPr>
        <w:t>3.净现值</w:t>
      </w:r>
    </w:p>
    <w:p w:rsidR="00BF51A9" w:rsidRDefault="00BF51A9" w:rsidP="00BF51A9">
      <w:r>
        <w:rPr>
          <w:rFonts w:ascii="宋体" w:hAnsi="宋体" w:hint="eastAsia"/>
        </w:rPr>
        <w:t>4.股票股利</w:t>
      </w:r>
    </w:p>
    <w:p w:rsidR="00BF51A9" w:rsidRDefault="00BF51A9" w:rsidP="00BF51A9">
      <w:pPr>
        <w:spacing w:line="320" w:lineRule="exact"/>
        <w:outlineLvl w:val="0"/>
        <w:rPr>
          <w:rFonts w:ascii="宋体" w:hAnsi="宋体"/>
          <w:b/>
          <w:bCs/>
          <w:color w:val="000000"/>
        </w:rPr>
      </w:pPr>
      <w:r>
        <w:rPr>
          <w:rFonts w:ascii="宋体" w:hAnsi="宋体" w:hint="eastAsia"/>
          <w:b/>
          <w:bCs/>
          <w:color w:val="000000"/>
        </w:rPr>
        <w:t>四、问答题</w:t>
      </w:r>
    </w:p>
    <w:p w:rsidR="00BF51A9" w:rsidRDefault="00BF51A9" w:rsidP="00BF51A9">
      <w:pPr>
        <w:spacing w:line="320" w:lineRule="exact"/>
        <w:rPr>
          <w:rFonts w:ascii="宋体" w:hAnsi="宋体" w:hint="eastAsia"/>
        </w:rPr>
      </w:pPr>
      <w:r>
        <w:rPr>
          <w:rFonts w:ascii="宋体" w:hAnsi="宋体" w:hint="eastAsia"/>
        </w:rPr>
        <w:t>1、</w:t>
      </w:r>
      <w:r>
        <w:rPr>
          <w:rFonts w:ascii="宋体" w:hAnsi="宋体" w:hint="eastAsia"/>
          <w:color w:val="000000"/>
        </w:rPr>
        <w:t>资本成本的含义及作用？</w:t>
      </w:r>
    </w:p>
    <w:p w:rsidR="00BF51A9" w:rsidRDefault="00BF51A9" w:rsidP="00BF51A9">
      <w:pPr>
        <w:rPr>
          <w:rFonts w:hint="eastAsia"/>
        </w:rPr>
      </w:pPr>
      <w:r>
        <w:rPr>
          <w:rFonts w:ascii="宋体" w:hAnsi="宋体" w:hint="eastAsia"/>
        </w:rPr>
        <w:t>2.金融市场的发展对财务管理的影响。</w:t>
      </w:r>
    </w:p>
    <w:p w:rsidR="00BF51A9" w:rsidRDefault="00BF51A9" w:rsidP="00BF51A9">
      <w:pPr>
        <w:spacing w:line="320" w:lineRule="exact"/>
        <w:outlineLvl w:val="0"/>
        <w:rPr>
          <w:rFonts w:ascii="宋体" w:hAnsi="宋体" w:hint="eastAsia"/>
          <w:b/>
          <w:bCs/>
          <w:color w:val="000000"/>
        </w:rPr>
      </w:pPr>
      <w:r>
        <w:rPr>
          <w:rFonts w:ascii="宋体" w:hAnsi="宋体" w:hint="eastAsia"/>
          <w:b/>
          <w:bCs/>
          <w:color w:val="000000"/>
        </w:rPr>
        <w:t>五、计算与案例分析题</w:t>
      </w:r>
    </w:p>
    <w:p w:rsidR="00BF51A9" w:rsidRDefault="00BF51A9" w:rsidP="00BF51A9">
      <w:pPr>
        <w:rPr>
          <w:rFonts w:ascii="宋体" w:hAnsi="宋体" w:hint="eastAsia"/>
          <w:color w:val="000000"/>
        </w:rPr>
      </w:pPr>
      <w:r>
        <w:rPr>
          <w:rFonts w:hint="eastAsia"/>
          <w:color w:val="000000"/>
        </w:rPr>
        <w:t>1.</w:t>
      </w:r>
      <w:r>
        <w:rPr>
          <w:rFonts w:ascii="宋体" w:hAnsi="宋体" w:hint="eastAsia"/>
        </w:rPr>
        <w:t>AB公司投资</w:t>
      </w:r>
      <w:proofErr w:type="gramStart"/>
      <w:r>
        <w:rPr>
          <w:rFonts w:ascii="宋体" w:hAnsi="宋体" w:hint="eastAsia"/>
        </w:rPr>
        <w:t>一</w:t>
      </w:r>
      <w:proofErr w:type="gramEnd"/>
      <w:r>
        <w:rPr>
          <w:rFonts w:ascii="宋体" w:hAnsi="宋体" w:hint="eastAsia"/>
        </w:rPr>
        <w:t>项目，基建三年，每年年初向银行贷款500万元，年利率为10％，银行要求建成投产一年后一次偿还本息，问应该偿还多少钱？如果建成投产一年后分四年偿还，平均每年应偿还多少钱?</w:t>
      </w:r>
      <w:r>
        <w:rPr>
          <w:rFonts w:ascii="宋体" w:hAnsi="宋体" w:hint="eastAsia"/>
          <w:color w:val="000000"/>
        </w:rPr>
        <w:t xml:space="preserve"> </w:t>
      </w:r>
    </w:p>
    <w:p w:rsidR="00BF51A9" w:rsidRDefault="00BF51A9" w:rsidP="00BF51A9">
      <w:pPr>
        <w:spacing w:line="400" w:lineRule="exact"/>
        <w:rPr>
          <w:rFonts w:hint="eastAsia"/>
        </w:rPr>
      </w:pPr>
      <w:r>
        <w:t xml:space="preserve"> </w:t>
      </w:r>
    </w:p>
    <w:p w:rsidR="00BF51A9" w:rsidRDefault="00BF51A9" w:rsidP="00BF51A9">
      <w:pPr>
        <w:spacing w:line="400" w:lineRule="exact"/>
      </w:pPr>
      <w:r>
        <w:t xml:space="preserve"> </w:t>
      </w:r>
    </w:p>
    <w:p w:rsidR="00BF51A9" w:rsidRDefault="00BF51A9" w:rsidP="00BF51A9">
      <w:pPr>
        <w:spacing w:line="420" w:lineRule="exact"/>
        <w:ind w:firstLineChars="300" w:firstLine="723"/>
        <w:jc w:val="center"/>
        <w:rPr>
          <w:rFonts w:ascii="宋体" w:hAnsi="宋体" w:hint="eastAsia"/>
          <w:b/>
          <w:bCs/>
          <w:sz w:val="24"/>
          <w:szCs w:val="24"/>
        </w:rPr>
      </w:pPr>
      <w:r>
        <w:rPr>
          <w:rFonts w:ascii="宋体" w:hAnsi="宋体" w:hint="eastAsia"/>
          <w:b/>
          <w:bCs/>
          <w:sz w:val="24"/>
          <w:szCs w:val="24"/>
        </w:rPr>
        <w:t>财务管理复习资料答案</w:t>
      </w:r>
    </w:p>
    <w:p w:rsidR="00BF51A9" w:rsidRDefault="00BF51A9" w:rsidP="00BF51A9">
      <w:pPr>
        <w:pStyle w:val="a3"/>
        <w:spacing w:before="0" w:beforeAutospacing="0" w:after="0" w:afterAutospacing="0"/>
        <w:rPr>
          <w:b/>
          <w:bCs/>
          <w:sz w:val="21"/>
          <w:szCs w:val="21"/>
        </w:rPr>
      </w:pPr>
      <w:r>
        <w:rPr>
          <w:rFonts w:hint="eastAsia"/>
          <w:b/>
          <w:bCs/>
          <w:sz w:val="21"/>
          <w:szCs w:val="21"/>
        </w:rPr>
        <w:t>单项选择题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0"/>
        <w:gridCol w:w="800"/>
        <w:gridCol w:w="801"/>
        <w:gridCol w:w="801"/>
        <w:gridCol w:w="801"/>
        <w:gridCol w:w="800"/>
        <w:gridCol w:w="800"/>
        <w:gridCol w:w="800"/>
        <w:gridCol w:w="800"/>
        <w:gridCol w:w="800"/>
      </w:tblGrid>
      <w:tr w:rsidR="00BF51A9" w:rsidTr="00BF51A9">
        <w:trPr>
          <w:trHeight w:val="454"/>
          <w:jc w:val="center"/>
        </w:trPr>
        <w:tc>
          <w:tcPr>
            <w:tcW w:w="800" w:type="dxa"/>
            <w:tcBorders>
              <w:top w:val="single" w:sz="4" w:space="0" w:color="auto"/>
              <w:left w:val="single" w:sz="4" w:space="0" w:color="auto"/>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1</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2</w:t>
            </w:r>
          </w:p>
        </w:tc>
        <w:tc>
          <w:tcPr>
            <w:tcW w:w="801"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3</w:t>
            </w:r>
          </w:p>
        </w:tc>
        <w:tc>
          <w:tcPr>
            <w:tcW w:w="801"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4</w:t>
            </w:r>
          </w:p>
        </w:tc>
        <w:tc>
          <w:tcPr>
            <w:tcW w:w="801"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5</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6</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7</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8</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9</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10</w:t>
            </w:r>
          </w:p>
        </w:tc>
      </w:tr>
      <w:tr w:rsidR="00BF51A9" w:rsidTr="00BF51A9">
        <w:trPr>
          <w:trHeight w:val="454"/>
          <w:jc w:val="center"/>
        </w:trPr>
        <w:tc>
          <w:tcPr>
            <w:tcW w:w="800" w:type="dxa"/>
            <w:tcBorders>
              <w:top w:val="single" w:sz="4" w:space="0" w:color="auto"/>
              <w:left w:val="single" w:sz="4" w:space="0" w:color="auto"/>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B</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p>
        </w:tc>
        <w:tc>
          <w:tcPr>
            <w:tcW w:w="801"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A</w:t>
            </w:r>
          </w:p>
        </w:tc>
        <w:tc>
          <w:tcPr>
            <w:tcW w:w="801"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p>
        </w:tc>
        <w:tc>
          <w:tcPr>
            <w:tcW w:w="801"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B</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B</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D</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A</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p>
        </w:tc>
      </w:tr>
    </w:tbl>
    <w:p w:rsidR="00BF51A9" w:rsidRDefault="00BF51A9" w:rsidP="00BF51A9">
      <w:pPr>
        <w:pStyle w:val="a3"/>
        <w:spacing w:before="0" w:beforeAutospacing="0" w:after="0" w:afterAutospacing="0"/>
        <w:rPr>
          <w:rFonts w:cs="宋体" w:hint="eastAsia"/>
          <w:b/>
          <w:bCs/>
          <w:sz w:val="21"/>
          <w:szCs w:val="21"/>
        </w:rPr>
      </w:pPr>
      <w:r>
        <w:rPr>
          <w:rFonts w:hint="eastAsia"/>
          <w:b/>
          <w:bCs/>
          <w:sz w:val="21"/>
          <w:szCs w:val="21"/>
        </w:rPr>
        <w:t>二、判断题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0"/>
        <w:gridCol w:w="800"/>
        <w:gridCol w:w="801"/>
        <w:gridCol w:w="801"/>
        <w:gridCol w:w="801"/>
        <w:gridCol w:w="800"/>
        <w:gridCol w:w="800"/>
        <w:gridCol w:w="800"/>
        <w:gridCol w:w="800"/>
        <w:gridCol w:w="800"/>
      </w:tblGrid>
      <w:tr w:rsidR="00BF51A9" w:rsidTr="00BF51A9">
        <w:trPr>
          <w:trHeight w:val="454"/>
          <w:jc w:val="center"/>
        </w:trPr>
        <w:tc>
          <w:tcPr>
            <w:tcW w:w="800" w:type="dxa"/>
            <w:tcBorders>
              <w:top w:val="single" w:sz="4" w:space="0" w:color="auto"/>
              <w:left w:val="single" w:sz="4" w:space="0" w:color="auto"/>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1</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2</w:t>
            </w:r>
          </w:p>
        </w:tc>
        <w:tc>
          <w:tcPr>
            <w:tcW w:w="801"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3</w:t>
            </w:r>
          </w:p>
        </w:tc>
        <w:tc>
          <w:tcPr>
            <w:tcW w:w="801"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4</w:t>
            </w:r>
          </w:p>
        </w:tc>
        <w:tc>
          <w:tcPr>
            <w:tcW w:w="801"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5</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6</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7</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8</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9</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sz w:val="24"/>
                <w:szCs w:val="24"/>
              </w:rPr>
              <w:t>10</w:t>
            </w:r>
          </w:p>
        </w:tc>
      </w:tr>
      <w:tr w:rsidR="00BF51A9" w:rsidTr="00BF51A9">
        <w:trPr>
          <w:trHeight w:val="454"/>
          <w:jc w:val="center"/>
        </w:trPr>
        <w:tc>
          <w:tcPr>
            <w:tcW w:w="800" w:type="dxa"/>
            <w:tcBorders>
              <w:top w:val="single" w:sz="4" w:space="0" w:color="auto"/>
              <w:left w:val="single" w:sz="4" w:space="0" w:color="auto"/>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rPr>
              <w:t>×</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p>
        </w:tc>
        <w:tc>
          <w:tcPr>
            <w:tcW w:w="801"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rPr>
              <w:t>√</w:t>
            </w:r>
          </w:p>
        </w:tc>
        <w:tc>
          <w:tcPr>
            <w:tcW w:w="801"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rPr>
              <w:t>√</w:t>
            </w:r>
          </w:p>
        </w:tc>
        <w:tc>
          <w:tcPr>
            <w:tcW w:w="801"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rPr>
              <w:t>×</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rPr>
              <w:t>√</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r>
              <w:rPr>
                <w:rFonts w:ascii="宋体" w:hAnsi="宋体" w:hint="eastAsia"/>
              </w:rPr>
              <w:t>√</w:t>
            </w:r>
          </w:p>
        </w:tc>
        <w:tc>
          <w:tcPr>
            <w:tcW w:w="800" w:type="dxa"/>
            <w:tcBorders>
              <w:top w:val="single" w:sz="4" w:space="0" w:color="auto"/>
              <w:left w:val="nil"/>
              <w:bottom w:val="single" w:sz="4" w:space="0" w:color="auto"/>
              <w:right w:val="single" w:sz="4" w:space="0" w:color="auto"/>
            </w:tcBorders>
            <w:vAlign w:val="center"/>
            <w:hideMark/>
          </w:tcPr>
          <w:p w:rsidR="00BF51A9" w:rsidRDefault="00BF51A9">
            <w:pPr>
              <w:jc w:val="center"/>
              <w:rPr>
                <w:rFonts w:ascii="宋体" w:hAnsi="宋体"/>
                <w:sz w:val="24"/>
                <w:szCs w:val="24"/>
              </w:rPr>
            </w:pPr>
          </w:p>
        </w:tc>
      </w:tr>
    </w:tbl>
    <w:p w:rsidR="00BF51A9" w:rsidRDefault="00BF51A9" w:rsidP="00BF51A9">
      <w:pPr>
        <w:pStyle w:val="a3"/>
        <w:spacing w:before="0" w:beforeAutospacing="0" w:after="0" w:afterAutospacing="0"/>
        <w:rPr>
          <w:rFonts w:cs="宋体" w:hint="eastAsia"/>
          <w:b/>
          <w:bCs/>
          <w:sz w:val="21"/>
          <w:szCs w:val="21"/>
        </w:rPr>
      </w:pPr>
      <w:r>
        <w:rPr>
          <w:rFonts w:hint="eastAsia"/>
          <w:b/>
          <w:bCs/>
          <w:sz w:val="21"/>
          <w:szCs w:val="21"/>
        </w:rPr>
        <w:t>三、名词解释</w:t>
      </w:r>
    </w:p>
    <w:p w:rsidR="00BF51A9" w:rsidRDefault="00BF51A9" w:rsidP="00BF51A9">
      <w:pPr>
        <w:pStyle w:val="a3"/>
        <w:spacing w:before="0" w:beforeAutospacing="0" w:after="0" w:afterAutospacing="0"/>
        <w:rPr>
          <w:rFonts w:hint="eastAsia"/>
          <w:sz w:val="21"/>
          <w:szCs w:val="21"/>
        </w:rPr>
      </w:pPr>
      <w:r>
        <w:rPr>
          <w:rFonts w:hint="eastAsia"/>
          <w:sz w:val="21"/>
          <w:szCs w:val="21"/>
        </w:rPr>
        <w:t>1.财务管理：财务管理是基于企业生产经营过程中客观存在的财务活动和财务关系而产生的，是组织企业财务活动、处理企业同各方面财务关系的一项经济管理工作，是企业管理的重要组成部分。</w:t>
      </w:r>
    </w:p>
    <w:p w:rsidR="00BF51A9" w:rsidRDefault="00BF51A9" w:rsidP="00BF51A9">
      <w:pPr>
        <w:pStyle w:val="a3"/>
        <w:spacing w:before="0" w:beforeAutospacing="0" w:after="0" w:afterAutospacing="0"/>
        <w:rPr>
          <w:rFonts w:hint="eastAsia"/>
          <w:sz w:val="21"/>
          <w:szCs w:val="21"/>
        </w:rPr>
      </w:pPr>
      <w:r>
        <w:rPr>
          <w:rFonts w:hint="eastAsia"/>
          <w:sz w:val="21"/>
          <w:szCs w:val="21"/>
        </w:rPr>
        <w:t>2.资本结构：企业的全部资金来源中债务资本和权益资本所占的比重及其相互间的比例关系。</w:t>
      </w:r>
    </w:p>
    <w:p w:rsidR="00BF51A9" w:rsidRDefault="00BF51A9" w:rsidP="00BF51A9">
      <w:pPr>
        <w:pStyle w:val="a3"/>
        <w:spacing w:before="0" w:beforeAutospacing="0" w:after="0" w:afterAutospacing="0"/>
        <w:rPr>
          <w:rFonts w:hint="eastAsia"/>
          <w:sz w:val="21"/>
          <w:szCs w:val="21"/>
        </w:rPr>
      </w:pPr>
      <w:r>
        <w:rPr>
          <w:rFonts w:hint="eastAsia"/>
          <w:sz w:val="21"/>
          <w:szCs w:val="21"/>
        </w:rPr>
        <w:t>3.净现值：指特定方案未来现金流入的现值与未来现金流出的现值之间的差额。</w:t>
      </w:r>
    </w:p>
    <w:p w:rsidR="00BF51A9" w:rsidRDefault="00BF51A9" w:rsidP="00BF51A9">
      <w:pPr>
        <w:rPr>
          <w:rFonts w:hint="eastAsia"/>
        </w:rPr>
      </w:pPr>
      <w:r>
        <w:t>4</w:t>
      </w:r>
      <w:r>
        <w:rPr>
          <w:rFonts w:ascii="宋体" w:hAnsi="宋体" w:hint="eastAsia"/>
        </w:rPr>
        <w:t>.股票股利：指公司将应发的股利以增发股票的方式支付。</w:t>
      </w:r>
    </w:p>
    <w:p w:rsidR="00BF51A9" w:rsidRDefault="00BF51A9" w:rsidP="00BF51A9">
      <w:pPr>
        <w:pStyle w:val="a3"/>
        <w:spacing w:before="0" w:beforeAutospacing="0" w:after="0" w:afterAutospacing="0"/>
        <w:rPr>
          <w:b/>
          <w:bCs/>
          <w:sz w:val="21"/>
          <w:szCs w:val="21"/>
        </w:rPr>
      </w:pPr>
      <w:r>
        <w:rPr>
          <w:rFonts w:hint="eastAsia"/>
          <w:b/>
          <w:bCs/>
          <w:sz w:val="21"/>
          <w:szCs w:val="21"/>
        </w:rPr>
        <w:t>四、问答题</w:t>
      </w:r>
    </w:p>
    <w:p w:rsidR="00BF51A9" w:rsidRDefault="00BF51A9" w:rsidP="00BF51A9">
      <w:pPr>
        <w:rPr>
          <w:rFonts w:ascii="宋体" w:hAnsi="宋体" w:hint="eastAsia"/>
          <w:color w:val="000000"/>
        </w:rPr>
      </w:pPr>
      <w:r>
        <w:rPr>
          <w:rFonts w:ascii="宋体" w:hAnsi="宋体" w:hint="eastAsia"/>
        </w:rPr>
        <w:t>1.</w:t>
      </w:r>
      <w:r>
        <w:rPr>
          <w:rFonts w:ascii="宋体" w:hAnsi="宋体" w:hint="eastAsia"/>
          <w:kern w:val="0"/>
        </w:rPr>
        <w:t>答：</w:t>
      </w:r>
      <w:r>
        <w:rPr>
          <w:rFonts w:ascii="宋体" w:hAnsi="宋体" w:hint="eastAsia"/>
          <w:color w:val="000000"/>
        </w:rPr>
        <w:t>含义：资本成本是公司筹集和使用资本的代价。</w:t>
      </w:r>
    </w:p>
    <w:p w:rsidR="00BF51A9" w:rsidRDefault="00BF51A9" w:rsidP="00BF51A9">
      <w:pPr>
        <w:ind w:firstLineChars="200" w:firstLine="420"/>
        <w:rPr>
          <w:rFonts w:ascii="宋体" w:hAnsi="宋体" w:hint="eastAsia"/>
          <w:color w:val="000000"/>
        </w:rPr>
      </w:pPr>
      <w:r>
        <w:rPr>
          <w:rFonts w:ascii="宋体" w:hAnsi="宋体" w:hint="eastAsia"/>
          <w:color w:val="000000"/>
        </w:rPr>
        <w:t>作用有：（1）资本成本是评价投资决策可行性的主要经济标准（2）资本成本是选择筹资方式和拟定筹资方案的重要依据（3）资本成本是评价公司经营成果的依据</w:t>
      </w:r>
    </w:p>
    <w:p w:rsidR="00BF51A9" w:rsidRDefault="00BF51A9" w:rsidP="00BF51A9">
      <w:pPr>
        <w:rPr>
          <w:rFonts w:ascii="宋体" w:hAnsi="宋体" w:hint="eastAsia"/>
          <w:color w:val="000000"/>
        </w:rPr>
      </w:pPr>
      <w:r>
        <w:rPr>
          <w:rFonts w:ascii="宋体" w:hAnsi="宋体" w:hint="eastAsia"/>
        </w:rPr>
        <w:t>2.</w:t>
      </w:r>
      <w:r>
        <w:rPr>
          <w:rFonts w:ascii="宋体" w:hAnsi="宋体" w:hint="eastAsia"/>
          <w:color w:val="000000"/>
        </w:rPr>
        <w:t>答题要点：金融市场是指资本供求双方通过某种形式融通资本的场所，是实现货币借贷和资本融通、办理各种票据和有价证券交易活动的场所；财务管理是基于企业生产经营过程中客观存在的财务活动和财务关系而产生的，是组织企业财务活动、处理企业同各方面财务关系的一项经济管理活动；</w:t>
      </w:r>
    </w:p>
    <w:p w:rsidR="00BF51A9" w:rsidRDefault="00BF51A9" w:rsidP="00BF51A9">
      <w:pPr>
        <w:ind w:firstLineChars="200" w:firstLine="420"/>
        <w:rPr>
          <w:rFonts w:ascii="宋体" w:hAnsi="宋体" w:hint="eastAsia"/>
          <w:color w:val="000000"/>
        </w:rPr>
      </w:pPr>
      <w:r>
        <w:rPr>
          <w:rFonts w:ascii="宋体" w:hAnsi="宋体" w:hint="eastAsia"/>
          <w:color w:val="000000"/>
        </w:rPr>
        <w:t>金融市场与财务管理的关系：金融市场是企业筹资和投资的场所；企业通过金融市场调整资本结构，</w:t>
      </w:r>
      <w:proofErr w:type="gramStart"/>
      <w:r>
        <w:rPr>
          <w:rFonts w:ascii="宋体" w:hAnsi="宋体" w:hint="eastAsia"/>
          <w:color w:val="000000"/>
        </w:rPr>
        <w:t>实现长</w:t>
      </w:r>
      <w:proofErr w:type="gramEnd"/>
      <w:r>
        <w:rPr>
          <w:rFonts w:ascii="宋体" w:hAnsi="宋体" w:hint="eastAsia"/>
          <w:color w:val="000000"/>
        </w:rPr>
        <w:t>短期资本互相转化；金融市场为企业理财提供有用的信息；现金在企业与金融市场之间往返流动才能增值；</w:t>
      </w:r>
    </w:p>
    <w:p w:rsidR="00BF51A9" w:rsidRDefault="00BF51A9" w:rsidP="00BF51A9">
      <w:pPr>
        <w:ind w:firstLineChars="200" w:firstLine="420"/>
        <w:rPr>
          <w:rFonts w:ascii="宋体" w:hAnsi="宋体" w:hint="eastAsia"/>
          <w:color w:val="000000"/>
        </w:rPr>
      </w:pPr>
      <w:r>
        <w:rPr>
          <w:rFonts w:ascii="宋体" w:hAnsi="宋体" w:hint="eastAsia"/>
          <w:color w:val="000000"/>
        </w:rPr>
        <w:t>金融市场发展对财务管理的影响：对理论的影响，如现代公司理财理论是金融市场发展</w:t>
      </w:r>
      <w:r>
        <w:rPr>
          <w:rFonts w:ascii="宋体" w:hAnsi="宋体" w:hint="eastAsia"/>
          <w:color w:val="000000"/>
        </w:rPr>
        <w:lastRenderedPageBreak/>
        <w:t>的产物；增加融资的可得性、降低融资成本；有利于企业灵活筹资，调整企业资本结构；扩大公司投资范围和提升投资的便利性。</w:t>
      </w:r>
    </w:p>
    <w:p w:rsidR="00BF51A9" w:rsidRDefault="00BF51A9" w:rsidP="00BF51A9">
      <w:pPr>
        <w:spacing w:line="400" w:lineRule="exact"/>
        <w:rPr>
          <w:rFonts w:ascii="宋体" w:hAnsi="宋体" w:hint="eastAsia"/>
          <w:b/>
          <w:bCs/>
        </w:rPr>
      </w:pPr>
      <w:r>
        <w:rPr>
          <w:rFonts w:ascii="宋体" w:hAnsi="宋体" w:hint="eastAsia"/>
          <w:b/>
          <w:bCs/>
        </w:rPr>
        <w:t>五、计算与案例分析题</w:t>
      </w:r>
    </w:p>
    <w:p w:rsidR="00BF51A9" w:rsidRDefault="00BF51A9" w:rsidP="00BF51A9">
      <w:pPr>
        <w:rPr>
          <w:rFonts w:ascii="宋体" w:hAnsi="宋体" w:hint="eastAsia"/>
        </w:rPr>
      </w:pPr>
      <w:r>
        <w:rPr>
          <w:rFonts w:ascii="宋体" w:hAnsi="宋体" w:hint="eastAsia"/>
        </w:rPr>
        <w:t>1.投产后一次偿还</w:t>
      </w:r>
      <w:r>
        <w:rPr>
          <w:rFonts w:hint="eastAsia"/>
        </w:rPr>
        <w:t>2002.55</w:t>
      </w:r>
      <w:r>
        <w:rPr>
          <w:rFonts w:ascii="宋体" w:hAnsi="宋体" w:hint="eastAsia"/>
        </w:rPr>
        <w:t>万元</w:t>
      </w:r>
      <w:r>
        <w:rPr>
          <w:rFonts w:ascii="宋体" w:hAnsi="宋体" w:hint="eastAsia"/>
          <w:color w:val="000000"/>
        </w:rPr>
        <w:t>，投产后分4年偿还，每年偿还</w:t>
      </w:r>
      <w:r>
        <w:rPr>
          <w:rFonts w:hint="eastAsia"/>
          <w:color w:val="000000"/>
        </w:rPr>
        <w:t>574.31</w:t>
      </w:r>
      <w:r>
        <w:rPr>
          <w:rFonts w:ascii="宋体" w:hAnsi="宋体" w:hint="eastAsia"/>
          <w:color w:val="000000"/>
        </w:rPr>
        <w:t>万元</w:t>
      </w:r>
    </w:p>
    <w:p w:rsidR="00BF51A9" w:rsidRDefault="00BF51A9" w:rsidP="00BF51A9">
      <w:pPr>
        <w:rPr>
          <w:rFonts w:ascii="宋体" w:hAnsi="宋体" w:hint="eastAsia"/>
          <w:color w:val="FF0000"/>
        </w:rPr>
      </w:pPr>
      <w:r>
        <w:rPr>
          <w:rFonts w:ascii="等线" w:hAnsi="等线"/>
        </w:rPr>
        <w:t>2.</w:t>
      </w:r>
      <w:r>
        <w:rPr>
          <w:rFonts w:ascii="宋体" w:hAnsi="宋体" w:hint="eastAsia"/>
        </w:rPr>
        <w:t>股票必要报酬率= 3%+1.2×（11%-3%）=12.6%</w:t>
      </w:r>
    </w:p>
    <w:p w:rsidR="00BF51A9" w:rsidRDefault="00BF51A9" w:rsidP="00BF51A9">
      <w:pPr>
        <w:rPr>
          <w:rFonts w:ascii="宋体" w:hAnsi="宋体" w:hint="eastAsia"/>
          <w:color w:val="000000"/>
        </w:rPr>
      </w:pPr>
      <w:r>
        <w:rPr>
          <w:rFonts w:ascii="宋体" w:hAnsi="宋体" w:hint="eastAsia"/>
          <w:color w:val="000000"/>
        </w:rPr>
        <w:t>每年股利=5</w:t>
      </w:r>
      <w:r>
        <w:rPr>
          <w:rFonts w:ascii="宋体" w:hAnsi="宋体" w:hint="eastAsia"/>
        </w:rPr>
        <w:t xml:space="preserve">×60%=3元 </w:t>
      </w:r>
    </w:p>
    <w:p w:rsidR="00BF51A9" w:rsidRDefault="00BF51A9" w:rsidP="00BF51A9">
      <w:pPr>
        <w:rPr>
          <w:rFonts w:ascii="宋体" w:hAnsi="宋体" w:hint="eastAsia"/>
          <w:color w:val="FF0000"/>
        </w:rPr>
      </w:pPr>
      <w:r>
        <w:rPr>
          <w:rFonts w:ascii="宋体" w:hAnsi="宋体" w:hint="eastAsia"/>
        </w:rPr>
        <w:t>股票内在价值=5×（1+3%）/（12.6%-3%）=32.19</w:t>
      </w:r>
    </w:p>
    <w:p w:rsidR="00BF51A9" w:rsidRDefault="00BF51A9" w:rsidP="00BF51A9">
      <w:pPr>
        <w:rPr>
          <w:rFonts w:ascii="宋体" w:hAnsi="宋体" w:hint="eastAsia"/>
        </w:rPr>
      </w:pPr>
      <w:r>
        <w:rPr>
          <w:rFonts w:ascii="宋体" w:hAnsi="宋体" w:hint="eastAsia"/>
        </w:rPr>
        <w:t xml:space="preserve">  市场价格35＞</w:t>
      </w:r>
      <w:r>
        <w:rPr>
          <w:rFonts w:hint="eastAsia"/>
        </w:rPr>
        <w:t>32.19</w:t>
      </w:r>
      <w:r>
        <w:rPr>
          <w:rFonts w:ascii="宋体" w:hAnsi="宋体" w:hint="eastAsia"/>
        </w:rPr>
        <w:t>，故不值得投资</w:t>
      </w:r>
    </w:p>
    <w:p w:rsidR="00BF51A9" w:rsidRPr="00BF51A9" w:rsidRDefault="00BF51A9" w:rsidP="00BF51A9">
      <w:pPr>
        <w:spacing w:line="420" w:lineRule="exact"/>
      </w:pPr>
    </w:p>
    <w:p w:rsidR="00BF51A9" w:rsidRDefault="00BF51A9" w:rsidP="00BF51A9">
      <w:pPr>
        <w:spacing w:line="400" w:lineRule="exact"/>
      </w:pPr>
    </w:p>
    <w:p w:rsidR="00BF51A9" w:rsidRDefault="00BF51A9" w:rsidP="00BF51A9">
      <w:pPr>
        <w:spacing w:line="400" w:lineRule="exact"/>
      </w:pPr>
      <w:r>
        <w:t xml:space="preserve"> </w:t>
      </w:r>
    </w:p>
    <w:p w:rsidR="00BF51A9" w:rsidRDefault="00BF51A9" w:rsidP="00BF51A9">
      <w:pPr>
        <w:spacing w:line="400" w:lineRule="exact"/>
      </w:pPr>
      <w:r>
        <w:t xml:space="preserve"> </w:t>
      </w:r>
    </w:p>
    <w:p w:rsidR="00BF51A9" w:rsidRDefault="00BF51A9" w:rsidP="00BF51A9">
      <w:pPr>
        <w:spacing w:line="400" w:lineRule="exact"/>
      </w:pPr>
      <w:r>
        <w:t xml:space="preserve"> </w:t>
      </w:r>
    </w:p>
    <w:p w:rsidR="00BF51A9" w:rsidRDefault="00BF51A9" w:rsidP="00BF51A9">
      <w:pPr>
        <w:spacing w:line="400" w:lineRule="exact"/>
      </w:pPr>
      <w:r>
        <w:t xml:space="preserve"> </w:t>
      </w:r>
    </w:p>
    <w:p w:rsidR="00BF51A9" w:rsidRDefault="00BF51A9" w:rsidP="00BF51A9">
      <w:pPr>
        <w:spacing w:line="400" w:lineRule="exact"/>
      </w:pPr>
      <w:r>
        <w:t xml:space="preserve"> </w:t>
      </w:r>
    </w:p>
    <w:p w:rsidR="00BF51A9" w:rsidRDefault="00BF51A9" w:rsidP="00BF51A9">
      <w:pPr>
        <w:spacing w:line="400" w:lineRule="exact"/>
      </w:pPr>
      <w:r>
        <w:t xml:space="preserve"> </w:t>
      </w:r>
    </w:p>
    <w:p w:rsidR="00BF51A9" w:rsidRDefault="00BF51A9" w:rsidP="00BF51A9">
      <w:pPr>
        <w:spacing w:line="400" w:lineRule="exact"/>
      </w:pPr>
      <w:r>
        <w:t xml:space="preserve"> </w:t>
      </w:r>
    </w:p>
    <w:p w:rsidR="00BF51A9" w:rsidRDefault="00BF51A9" w:rsidP="00BF51A9">
      <w:pPr>
        <w:rPr>
          <w:rFonts w:ascii="宋体" w:hAnsi="宋体"/>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hint="eastAsia"/>
        </w:rPr>
        <w:t>2.</w:t>
      </w:r>
      <w:r>
        <w:rPr>
          <w:rFonts w:ascii="宋体" w:hAnsi="宋体" w:hint="eastAsia"/>
        </w:rPr>
        <w:t>某公司去年的每股收益为</w:t>
      </w:r>
      <w:r>
        <w:rPr>
          <w:rFonts w:hint="eastAsia"/>
        </w:rPr>
        <w:t>5</w:t>
      </w:r>
      <w:r>
        <w:rPr>
          <w:rFonts w:ascii="宋体" w:hAnsi="宋体" w:hint="eastAsia"/>
        </w:rPr>
        <w:t>元，其中</w:t>
      </w:r>
      <w:r>
        <w:rPr>
          <w:rFonts w:hint="eastAsia"/>
        </w:rPr>
        <w:t>60</w:t>
      </w:r>
      <w:r>
        <w:rPr>
          <w:rFonts w:ascii="宋体" w:hAnsi="宋体" w:hint="eastAsia"/>
        </w:rPr>
        <w:t>％的收益将用于派发股息，并且预计未来的股息将长期保持稳定增长，增长率为</w:t>
      </w:r>
      <w:r>
        <w:rPr>
          <w:rFonts w:hint="eastAsia"/>
        </w:rPr>
        <w:t>3%</w:t>
      </w:r>
      <w:r>
        <w:rPr>
          <w:rFonts w:ascii="宋体" w:hAnsi="宋体" w:hint="eastAsia"/>
        </w:rPr>
        <w:t>。公司的贝塔值是</w:t>
      </w:r>
      <w:r>
        <w:rPr>
          <w:rFonts w:hint="eastAsia"/>
        </w:rPr>
        <w:t>1.2</w:t>
      </w:r>
      <w:r>
        <w:rPr>
          <w:rFonts w:ascii="宋体" w:hAnsi="宋体" w:hint="eastAsia"/>
        </w:rPr>
        <w:t>，同期股价综合指数的收益率为</w:t>
      </w:r>
      <w:r>
        <w:rPr>
          <w:rFonts w:hint="eastAsia"/>
        </w:rPr>
        <w:t>11</w:t>
      </w:r>
      <w:r>
        <w:rPr>
          <w:rFonts w:ascii="宋体" w:hAnsi="宋体" w:hint="eastAsia"/>
        </w:rPr>
        <w:t>％，国库券利率为</w:t>
      </w:r>
      <w:r>
        <w:rPr>
          <w:rFonts w:hint="eastAsia"/>
        </w:rPr>
        <w:t>3.0</w:t>
      </w:r>
      <w:r>
        <w:rPr>
          <w:rFonts w:ascii="宋体" w:hAnsi="宋体" w:hint="eastAsia"/>
        </w:rPr>
        <w:t>％。公司股票当前的市场价格</w:t>
      </w:r>
      <w:r>
        <w:rPr>
          <w:rFonts w:hint="eastAsia"/>
        </w:rPr>
        <w:t>P</w:t>
      </w:r>
      <w:r>
        <w:rPr>
          <w:rFonts w:ascii="宋体" w:hAnsi="宋体" w:hint="eastAsia"/>
        </w:rPr>
        <w:t>为</w:t>
      </w:r>
      <w:r>
        <w:rPr>
          <w:rFonts w:hint="eastAsia"/>
        </w:rPr>
        <w:t>35</w:t>
      </w:r>
      <w:r>
        <w:rPr>
          <w:rFonts w:ascii="宋体" w:hAnsi="宋体" w:hint="eastAsia"/>
        </w:rPr>
        <w:t>元。请问该股票值得购买吗？</w:t>
      </w:r>
      <w:r>
        <w:rPr>
          <w:rFonts w:ascii="宋体" w:hAnsi="宋体" w:hint="eastAsia"/>
          <w:color w:val="000000"/>
        </w:rPr>
        <w:t>（</w:t>
      </w:r>
      <w:r>
        <w:rPr>
          <w:rFonts w:hint="eastAsia"/>
          <w:color w:val="000000"/>
        </w:rPr>
        <w:t>10</w:t>
      </w:r>
      <w:r>
        <w:rPr>
          <w:rFonts w:ascii="宋体" w:hAnsi="宋体" w:hint="eastAsia"/>
          <w:color w:val="000000"/>
        </w:rPr>
        <w:t>分）</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BF51A9" w:rsidRDefault="00BF51A9" w:rsidP="00BF51A9">
      <w:pPr>
        <w:rPr>
          <w:rFonts w:ascii="宋体" w:hAnsi="宋体" w:hint="eastAsia"/>
        </w:rPr>
      </w:pPr>
      <w:r>
        <w:rPr>
          <w:rFonts w:ascii="宋体" w:hAnsi="宋体" w:hint="eastAsia"/>
        </w:rPr>
        <w:t xml:space="preserve"> </w:t>
      </w:r>
    </w:p>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等线">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F51A9"/>
    <w:rsid w:val="006764D7"/>
    <w:rsid w:val="00BF51A9"/>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1A9"/>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unhideWhenUsed/>
    <w:rsid w:val="00BF51A9"/>
    <w:pPr>
      <w:widowControl/>
      <w:spacing w:before="100" w:beforeAutospacing="1" w:after="100" w:afterAutospacing="1"/>
      <w:jc w:val="left"/>
    </w:pPr>
    <w:rPr>
      <w:rFonts w:ascii="宋体" w:hAnsi="宋体"/>
      <w:kern w:val="0"/>
      <w:sz w:val="24"/>
      <w:szCs w:val="24"/>
    </w:rPr>
  </w:style>
  <w:style w:type="character" w:customStyle="1" w:styleId="Char">
    <w:name w:val="正文文本 Char"/>
    <w:basedOn w:val="a0"/>
    <w:link w:val="a3"/>
    <w:uiPriority w:val="99"/>
    <w:rsid w:val="00BF51A9"/>
    <w:rPr>
      <w:rFonts w:ascii="宋体" w:eastAsia="宋体" w:hAnsi="宋体" w:cs="Times New Roman"/>
      <w:kern w:val="0"/>
      <w:sz w:val="24"/>
      <w:szCs w:val="24"/>
    </w:rPr>
  </w:style>
</w:styles>
</file>

<file path=word/webSettings.xml><?xml version="1.0" encoding="utf-8"?>
<w:webSettings xmlns:r="http://schemas.openxmlformats.org/officeDocument/2006/relationships" xmlns:w="http://schemas.openxmlformats.org/wordprocessingml/2006/main">
  <w:divs>
    <w:div w:id="759446918">
      <w:bodyDiv w:val="1"/>
      <w:marLeft w:val="0"/>
      <w:marRight w:val="0"/>
      <w:marTop w:val="0"/>
      <w:marBottom w:val="0"/>
      <w:divBdr>
        <w:top w:val="none" w:sz="0" w:space="0" w:color="auto"/>
        <w:left w:val="none" w:sz="0" w:space="0" w:color="auto"/>
        <w:bottom w:val="none" w:sz="0" w:space="0" w:color="auto"/>
        <w:right w:val="none" w:sz="0" w:space="0" w:color="auto"/>
      </w:divBdr>
    </w:div>
    <w:div w:id="112535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380</Words>
  <Characters>2170</Characters>
  <Application>Microsoft Office Word</Application>
  <DocSecurity>0</DocSecurity>
  <Lines>18</Lines>
  <Paragraphs>5</Paragraphs>
  <ScaleCrop>false</ScaleCrop>
  <Company/>
  <LinksUpToDate>false</LinksUpToDate>
  <CharactersWithSpaces>2545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2022-06-05T02:17:00Z</dcterms:created>
  <dcterms:modified xsi:type="dcterms:W3CDTF">2022-06-05T02:19:00Z</dcterms:modified>
</cp:coreProperties>
</file>