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b/>
          <w:sz w:val="24"/>
        </w:rPr>
        <w:t>财务管理</w:t>
      </w:r>
    </w:p>
    <w:p>
      <w:pPr>
        <w:spacing w:line="320" w:lineRule="exact"/>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一、单项选择题</w:t>
      </w:r>
    </w:p>
    <w:p>
      <w:pPr>
        <w:tabs>
          <w:tab w:val="left" w:pos="4253"/>
        </w:tabs>
        <w:rPr>
          <w:rFonts w:ascii="宋体" w:hAnsi="宋体"/>
          <w:color w:val="000000"/>
          <w:szCs w:val="21"/>
        </w:rPr>
      </w:pPr>
      <w:r>
        <w:rPr>
          <w:rFonts w:hint="eastAsia" w:ascii="宋体" w:hAnsi="宋体"/>
          <w:color w:val="000000"/>
          <w:szCs w:val="21"/>
        </w:rPr>
        <w:t xml:space="preserve">1.公司向银行取得长期借款以及偿还借款本息而产生的资金流入与流动是（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A.公司投资引起的财务活动</w:t>
      </w:r>
      <w:r>
        <w:rPr>
          <w:rFonts w:hint="eastAsia" w:ascii="宋体" w:hAnsi="宋体"/>
          <w:color w:val="000000"/>
          <w:szCs w:val="21"/>
        </w:rPr>
        <w:tab/>
      </w:r>
      <w:r>
        <w:rPr>
          <w:rFonts w:hint="eastAsia" w:ascii="宋体" w:hAnsi="宋体"/>
          <w:color w:val="000000"/>
          <w:szCs w:val="21"/>
        </w:rPr>
        <w:t>B.公司筹资引起的财务活动</w:t>
      </w:r>
    </w:p>
    <w:p>
      <w:pPr>
        <w:tabs>
          <w:tab w:val="left" w:pos="4253"/>
        </w:tabs>
        <w:rPr>
          <w:rFonts w:ascii="宋体" w:hAnsi="宋体"/>
          <w:color w:val="000000"/>
          <w:szCs w:val="21"/>
        </w:rPr>
      </w:pPr>
      <w:r>
        <w:rPr>
          <w:rFonts w:hint="eastAsia" w:ascii="宋体" w:hAnsi="宋体"/>
          <w:color w:val="000000"/>
          <w:szCs w:val="21"/>
        </w:rPr>
        <w:t>C.公司经营引起的财务活动</w:t>
      </w:r>
      <w:r>
        <w:rPr>
          <w:rFonts w:hint="eastAsia" w:ascii="宋体" w:hAnsi="宋体"/>
          <w:color w:val="000000"/>
          <w:szCs w:val="21"/>
        </w:rPr>
        <w:tab/>
      </w:r>
      <w:r>
        <w:rPr>
          <w:rFonts w:hint="eastAsia" w:ascii="宋体" w:hAnsi="宋体"/>
          <w:color w:val="000000"/>
          <w:szCs w:val="21"/>
        </w:rPr>
        <w:t>D.公司股利分配引起的财务活动</w:t>
      </w:r>
    </w:p>
    <w:p>
      <w:pPr>
        <w:tabs>
          <w:tab w:val="left" w:pos="4253"/>
        </w:tabs>
        <w:rPr>
          <w:rFonts w:ascii="宋体" w:hAnsi="宋体"/>
          <w:color w:val="000000"/>
          <w:szCs w:val="21"/>
        </w:rPr>
      </w:pPr>
      <w:r>
        <w:rPr>
          <w:rFonts w:hint="eastAsia" w:ascii="宋体" w:hAnsi="宋体"/>
          <w:color w:val="000000"/>
          <w:szCs w:val="21"/>
        </w:rPr>
        <w:t xml:space="preserve">2.在金融市场中，参与金融交易活动的经济单位是（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 xml:space="preserve">A.交易对象 </w:t>
      </w:r>
      <w:r>
        <w:rPr>
          <w:rFonts w:ascii="宋体" w:hAnsi="宋体"/>
          <w:color w:val="000000"/>
          <w:szCs w:val="21"/>
        </w:rPr>
        <w:t xml:space="preserve">  </w:t>
      </w:r>
      <w:r>
        <w:rPr>
          <w:rFonts w:hint="eastAsia" w:ascii="宋体" w:hAnsi="宋体"/>
          <w:color w:val="000000"/>
          <w:szCs w:val="21"/>
        </w:rPr>
        <w:t>B.市场主体</w:t>
      </w:r>
      <w:r>
        <w:rPr>
          <w:rFonts w:ascii="宋体" w:hAnsi="宋体"/>
          <w:color w:val="000000"/>
          <w:szCs w:val="21"/>
        </w:rPr>
        <w:t xml:space="preserve">   </w:t>
      </w:r>
      <w:r>
        <w:rPr>
          <w:rFonts w:hint="eastAsia" w:ascii="宋体" w:hAnsi="宋体"/>
          <w:color w:val="000000"/>
          <w:szCs w:val="21"/>
        </w:rPr>
        <w:t>C.组织形式</w:t>
      </w:r>
      <w:r>
        <w:rPr>
          <w:rFonts w:hint="eastAsia" w:ascii="宋体" w:hAnsi="宋体"/>
          <w:color w:val="000000"/>
          <w:szCs w:val="21"/>
        </w:rPr>
        <w:tab/>
      </w:r>
      <w:r>
        <w:rPr>
          <w:rFonts w:hint="eastAsia" w:ascii="宋体" w:hAnsi="宋体"/>
          <w:color w:val="000000"/>
          <w:szCs w:val="21"/>
        </w:rPr>
        <w:t>D.交易方式</w:t>
      </w:r>
    </w:p>
    <w:p>
      <w:pPr>
        <w:tabs>
          <w:tab w:val="left" w:pos="4253"/>
        </w:tabs>
        <w:rPr>
          <w:rFonts w:ascii="宋体" w:hAnsi="宋体"/>
          <w:color w:val="000000"/>
          <w:szCs w:val="21"/>
        </w:rPr>
      </w:pPr>
      <w:r>
        <w:rPr>
          <w:rFonts w:hint="eastAsia" w:ascii="宋体" w:hAnsi="宋体"/>
          <w:color w:val="000000"/>
          <w:szCs w:val="21"/>
        </w:rPr>
        <w:t xml:space="preserve">3.年金有普通年金、即付年金、递延年金、永续年金等形式，其中普通年金是（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 xml:space="preserve">A.无期限等额收付的系列款项 </w:t>
      </w:r>
      <w:r>
        <w:rPr>
          <w:rFonts w:ascii="宋体" w:hAnsi="宋体"/>
          <w:color w:val="000000"/>
          <w:szCs w:val="21"/>
        </w:rPr>
        <w:t xml:space="preserve">    </w:t>
      </w:r>
      <w:r>
        <w:rPr>
          <w:rFonts w:hint="eastAsia" w:ascii="宋体" w:hAnsi="宋体"/>
          <w:color w:val="000000"/>
          <w:szCs w:val="21"/>
        </w:rPr>
        <w:t>B.距今若干期以后发生的等额收付的系列款项</w:t>
      </w:r>
    </w:p>
    <w:p>
      <w:pPr>
        <w:tabs>
          <w:tab w:val="left" w:pos="4253"/>
        </w:tabs>
        <w:rPr>
          <w:rFonts w:ascii="宋体" w:hAnsi="宋体"/>
          <w:color w:val="000000"/>
          <w:szCs w:val="21"/>
        </w:rPr>
      </w:pPr>
      <w:r>
        <w:rPr>
          <w:rFonts w:hint="eastAsia" w:ascii="宋体" w:hAnsi="宋体"/>
          <w:color w:val="000000"/>
          <w:szCs w:val="21"/>
        </w:rPr>
        <w:t>C.从第一期起，在一定时期内每期期初等额收付的系列款项</w:t>
      </w:r>
    </w:p>
    <w:p>
      <w:pPr>
        <w:tabs>
          <w:tab w:val="left" w:pos="4253"/>
        </w:tabs>
        <w:rPr>
          <w:rFonts w:ascii="宋体" w:hAnsi="宋体"/>
          <w:color w:val="000000"/>
          <w:szCs w:val="21"/>
        </w:rPr>
      </w:pPr>
      <w:r>
        <w:rPr>
          <w:rFonts w:hint="eastAsia" w:ascii="宋体" w:hAnsi="宋体"/>
          <w:color w:val="000000"/>
          <w:szCs w:val="21"/>
        </w:rPr>
        <w:t>D.从第一期起，在一定时期内每期期末等额收付的系列款项</w:t>
      </w:r>
    </w:p>
    <w:p>
      <w:pPr>
        <w:tabs>
          <w:tab w:val="left" w:pos="4253"/>
        </w:tabs>
        <w:rPr>
          <w:rFonts w:ascii="宋体" w:hAnsi="宋体"/>
          <w:color w:val="000000"/>
          <w:szCs w:val="21"/>
        </w:rPr>
      </w:pPr>
      <w:r>
        <w:rPr>
          <w:rFonts w:hint="eastAsia" w:ascii="宋体" w:hAnsi="宋体"/>
          <w:color w:val="000000"/>
          <w:szCs w:val="21"/>
        </w:rPr>
        <w:t>4.如果某股票的</w:t>
      </w:r>
      <w:r>
        <w:rPr>
          <w:rFonts w:ascii="宋体" w:hAnsi="宋体"/>
          <w:color w:val="000000"/>
          <w:szCs w:val="21"/>
        </w:rPr>
        <w:t>β</w:t>
      </w:r>
      <w:r>
        <w:rPr>
          <w:rFonts w:hint="eastAsia" w:ascii="宋体" w:hAnsi="宋体"/>
          <w:color w:val="000000"/>
          <w:szCs w:val="21"/>
        </w:rPr>
        <w:t xml:space="preserve">系数大于1，则对该股票的系统风险表述正确的是（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A.大于市场组合的系统风险</w:t>
      </w:r>
      <w:r>
        <w:rPr>
          <w:rFonts w:hint="eastAsia" w:ascii="宋体" w:hAnsi="宋体"/>
          <w:color w:val="000000"/>
          <w:szCs w:val="21"/>
        </w:rPr>
        <w:tab/>
      </w:r>
      <w:r>
        <w:rPr>
          <w:rFonts w:hint="eastAsia" w:ascii="宋体" w:hAnsi="宋体"/>
          <w:color w:val="000000"/>
          <w:szCs w:val="21"/>
        </w:rPr>
        <w:t>B.小于市场组合的系统风险</w:t>
      </w:r>
    </w:p>
    <w:p>
      <w:pPr>
        <w:tabs>
          <w:tab w:val="left" w:pos="4253"/>
        </w:tabs>
        <w:rPr>
          <w:rFonts w:ascii="宋体" w:hAnsi="宋体"/>
          <w:color w:val="000000"/>
          <w:szCs w:val="21"/>
        </w:rPr>
      </w:pPr>
      <w:r>
        <w:rPr>
          <w:rFonts w:hint="eastAsia" w:ascii="宋体" w:hAnsi="宋体"/>
          <w:color w:val="000000"/>
          <w:szCs w:val="21"/>
        </w:rPr>
        <w:t>C.等于市场组合的系统风险</w:t>
      </w:r>
      <w:r>
        <w:rPr>
          <w:rFonts w:hint="eastAsia" w:ascii="宋体" w:hAnsi="宋体"/>
          <w:color w:val="000000"/>
          <w:szCs w:val="21"/>
        </w:rPr>
        <w:tab/>
      </w:r>
      <w:r>
        <w:rPr>
          <w:rFonts w:hint="eastAsia" w:ascii="宋体" w:hAnsi="宋体"/>
          <w:color w:val="000000"/>
          <w:szCs w:val="21"/>
        </w:rPr>
        <w:t>D.与市场组合的系统风险的关系不确定</w:t>
      </w:r>
    </w:p>
    <w:p>
      <w:pPr>
        <w:tabs>
          <w:tab w:val="left" w:pos="4253"/>
        </w:tabs>
        <w:rPr>
          <w:rFonts w:ascii="宋体" w:hAnsi="宋体"/>
          <w:color w:val="000000"/>
          <w:szCs w:val="21"/>
        </w:rPr>
      </w:pPr>
      <w:r>
        <w:rPr>
          <w:rFonts w:hint="eastAsia" w:ascii="宋体" w:hAnsi="宋体"/>
          <w:color w:val="000000"/>
          <w:szCs w:val="21"/>
        </w:rPr>
        <w:t xml:space="preserve">5.下列关于速动比率的表述，正确的是（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A.速动比率一定大于1</w:t>
      </w:r>
      <w:r>
        <w:rPr>
          <w:rFonts w:hint="eastAsia" w:ascii="宋体" w:hAnsi="宋体"/>
          <w:color w:val="000000"/>
          <w:szCs w:val="21"/>
        </w:rPr>
        <w:tab/>
      </w:r>
      <w:r>
        <w:rPr>
          <w:rFonts w:hint="eastAsia" w:ascii="宋体" w:hAnsi="宋体"/>
          <w:color w:val="000000"/>
          <w:szCs w:val="21"/>
        </w:rPr>
        <w:t>B.速动比率一定小于1</w:t>
      </w:r>
    </w:p>
    <w:p>
      <w:pPr>
        <w:tabs>
          <w:tab w:val="left" w:pos="4253"/>
        </w:tabs>
        <w:rPr>
          <w:rFonts w:ascii="宋体" w:hAnsi="宋体"/>
          <w:color w:val="000000"/>
          <w:szCs w:val="21"/>
        </w:rPr>
      </w:pPr>
      <w:r>
        <w:rPr>
          <w:rFonts w:hint="eastAsia" w:ascii="宋体" w:hAnsi="宋体"/>
          <w:color w:val="000000"/>
          <w:szCs w:val="21"/>
        </w:rPr>
        <w:t>C.速动比率一定不大于流动比率</w:t>
      </w:r>
      <w:r>
        <w:rPr>
          <w:rFonts w:hint="eastAsia" w:ascii="宋体" w:hAnsi="宋体"/>
          <w:color w:val="000000"/>
          <w:szCs w:val="21"/>
        </w:rPr>
        <w:tab/>
      </w:r>
      <w:r>
        <w:rPr>
          <w:rFonts w:hint="eastAsia" w:ascii="宋体" w:hAnsi="宋体"/>
          <w:color w:val="000000"/>
          <w:szCs w:val="21"/>
        </w:rPr>
        <w:t>D.速动比率一定大于流动比率</w:t>
      </w:r>
    </w:p>
    <w:p>
      <w:pPr>
        <w:tabs>
          <w:tab w:val="left" w:pos="4253"/>
        </w:tabs>
        <w:rPr>
          <w:rFonts w:ascii="宋体" w:hAnsi="宋体"/>
          <w:color w:val="000000"/>
          <w:szCs w:val="21"/>
        </w:rPr>
      </w:pPr>
      <w:r>
        <w:rPr>
          <w:rFonts w:hint="eastAsia" w:ascii="宋体" w:hAnsi="宋体"/>
          <w:color w:val="000000"/>
          <w:szCs w:val="21"/>
        </w:rPr>
        <w:t xml:space="preserve">6.下列债券中.信誉最高的是（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 xml:space="preserve">A.国库券 </w:t>
      </w:r>
      <w:r>
        <w:rPr>
          <w:rFonts w:ascii="宋体" w:hAnsi="宋体"/>
          <w:color w:val="000000"/>
          <w:szCs w:val="21"/>
        </w:rPr>
        <w:t xml:space="preserve">    </w:t>
      </w:r>
      <w:r>
        <w:rPr>
          <w:rFonts w:hint="eastAsia" w:ascii="宋体" w:hAnsi="宋体"/>
          <w:color w:val="000000"/>
          <w:szCs w:val="21"/>
        </w:rPr>
        <w:t xml:space="preserve">B.金融债券 </w:t>
      </w:r>
      <w:r>
        <w:rPr>
          <w:rFonts w:ascii="宋体" w:hAnsi="宋体"/>
          <w:color w:val="000000"/>
          <w:szCs w:val="21"/>
        </w:rPr>
        <w:t xml:space="preserve">    </w:t>
      </w:r>
      <w:r>
        <w:rPr>
          <w:rFonts w:hint="eastAsia" w:ascii="宋体" w:hAnsi="宋体"/>
          <w:color w:val="000000"/>
          <w:szCs w:val="21"/>
        </w:rPr>
        <w:t>C.企业短期债券</w:t>
      </w:r>
      <w:r>
        <w:rPr>
          <w:rFonts w:hint="eastAsia" w:ascii="宋体" w:hAnsi="宋体"/>
          <w:color w:val="000000"/>
          <w:szCs w:val="21"/>
        </w:rPr>
        <w:tab/>
      </w:r>
      <w:r>
        <w:rPr>
          <w:rFonts w:hint="eastAsia" w:ascii="宋体" w:hAnsi="宋体"/>
          <w:color w:val="000000"/>
          <w:szCs w:val="21"/>
        </w:rPr>
        <w:t>D.企业长期债券</w:t>
      </w:r>
    </w:p>
    <w:p>
      <w:pPr>
        <w:tabs>
          <w:tab w:val="left" w:pos="4253"/>
        </w:tabs>
        <w:rPr>
          <w:rFonts w:ascii="宋体" w:hAnsi="宋体"/>
          <w:color w:val="000000"/>
          <w:szCs w:val="21"/>
        </w:rPr>
      </w:pPr>
      <w:r>
        <w:rPr>
          <w:rFonts w:hint="eastAsia" w:ascii="宋体" w:hAnsi="宋体"/>
          <w:color w:val="000000"/>
          <w:szCs w:val="21"/>
        </w:rPr>
        <w:t xml:space="preserve">7.信用条件“1/10，n/30”的含义是（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A.信用期限为30天，现金折扣为10%</w:t>
      </w:r>
    </w:p>
    <w:p>
      <w:pPr>
        <w:tabs>
          <w:tab w:val="left" w:pos="4253"/>
        </w:tabs>
        <w:rPr>
          <w:rFonts w:ascii="宋体" w:hAnsi="宋体"/>
          <w:color w:val="000000"/>
          <w:szCs w:val="21"/>
        </w:rPr>
      </w:pPr>
      <w:r>
        <w:rPr>
          <w:rFonts w:hint="eastAsia" w:ascii="宋体" w:hAnsi="宋体"/>
          <w:color w:val="000000"/>
          <w:szCs w:val="21"/>
        </w:rPr>
        <w:t>B.信用期限为10天，现金折扣为10%，信用期限为30天</w:t>
      </w:r>
    </w:p>
    <w:p>
      <w:pPr>
        <w:tabs>
          <w:tab w:val="left" w:pos="4253"/>
        </w:tabs>
        <w:rPr>
          <w:rFonts w:ascii="宋体" w:hAnsi="宋体"/>
          <w:color w:val="000000"/>
          <w:szCs w:val="21"/>
        </w:rPr>
      </w:pPr>
      <w:r>
        <w:rPr>
          <w:rFonts w:hint="eastAsia" w:ascii="宋体" w:hAnsi="宋体"/>
          <w:color w:val="000000"/>
          <w:szCs w:val="21"/>
        </w:rPr>
        <w:t>C.如果在10天内付款.可享受1%的现金折扣，但付款期最长不能超过30天</w:t>
      </w:r>
    </w:p>
    <w:p>
      <w:pPr>
        <w:tabs>
          <w:tab w:val="left" w:pos="4253"/>
        </w:tabs>
        <w:rPr>
          <w:rFonts w:ascii="宋体" w:hAnsi="宋体"/>
          <w:color w:val="000000"/>
          <w:szCs w:val="21"/>
        </w:rPr>
      </w:pPr>
      <w:r>
        <w:rPr>
          <w:rFonts w:hint="eastAsia" w:ascii="宋体" w:hAnsi="宋体"/>
          <w:color w:val="000000"/>
          <w:szCs w:val="21"/>
        </w:rPr>
        <w:t>D.如果在20天内付款.可享受1%的现金折扣，否则应在30天内按全额付款</w:t>
      </w:r>
    </w:p>
    <w:p>
      <w:pPr>
        <w:tabs>
          <w:tab w:val="left" w:pos="4253"/>
        </w:tabs>
        <w:rPr>
          <w:rFonts w:ascii="宋体" w:hAnsi="宋体"/>
          <w:color w:val="000000"/>
          <w:szCs w:val="21"/>
        </w:rPr>
      </w:pPr>
      <w:r>
        <w:rPr>
          <w:rFonts w:hint="eastAsia" w:ascii="宋体" w:hAnsi="宋体"/>
          <w:color w:val="000000"/>
          <w:szCs w:val="21"/>
        </w:rPr>
        <w:t xml:space="preserve">8.确定股东能否领取股利的日期界限是（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 xml:space="preserve">A.除息日 </w:t>
      </w:r>
      <w:r>
        <w:rPr>
          <w:rFonts w:ascii="宋体" w:hAnsi="宋体"/>
          <w:color w:val="000000"/>
          <w:szCs w:val="21"/>
        </w:rPr>
        <w:t xml:space="preserve">    </w:t>
      </w:r>
      <w:r>
        <w:rPr>
          <w:rFonts w:hint="eastAsia" w:ascii="宋体" w:hAnsi="宋体"/>
          <w:color w:val="000000"/>
          <w:szCs w:val="21"/>
        </w:rPr>
        <w:t xml:space="preserve">B.股利发放日 </w:t>
      </w:r>
      <w:r>
        <w:rPr>
          <w:rFonts w:ascii="宋体" w:hAnsi="宋体"/>
          <w:color w:val="000000"/>
          <w:szCs w:val="21"/>
        </w:rPr>
        <w:t xml:space="preserve">   </w:t>
      </w:r>
      <w:r>
        <w:rPr>
          <w:rFonts w:hint="eastAsia" w:ascii="宋体" w:hAnsi="宋体"/>
          <w:color w:val="000000"/>
          <w:szCs w:val="21"/>
        </w:rPr>
        <w:t>C.股利宜布日</w:t>
      </w:r>
      <w:r>
        <w:rPr>
          <w:rFonts w:hint="eastAsia" w:ascii="宋体" w:hAnsi="宋体"/>
          <w:color w:val="000000"/>
          <w:szCs w:val="21"/>
        </w:rPr>
        <w:tab/>
      </w:r>
      <w:r>
        <w:rPr>
          <w:rFonts w:hint="eastAsia" w:ascii="宋体" w:hAnsi="宋体"/>
          <w:color w:val="000000"/>
          <w:szCs w:val="21"/>
        </w:rPr>
        <w:t>D.股权登记日</w:t>
      </w:r>
    </w:p>
    <w:p>
      <w:pPr>
        <w:tabs>
          <w:tab w:val="left" w:pos="4253"/>
        </w:tabs>
        <w:rPr>
          <w:rFonts w:ascii="宋体" w:hAnsi="宋体"/>
          <w:color w:val="000000"/>
          <w:szCs w:val="21"/>
        </w:rPr>
      </w:pPr>
      <w:r>
        <w:rPr>
          <w:rFonts w:hint="eastAsia" w:ascii="宋体" w:hAnsi="宋体"/>
          <w:color w:val="000000"/>
          <w:szCs w:val="21"/>
        </w:rPr>
        <w:t xml:space="preserve">9.下列关于资产负债率指标的表述，正确的是（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A.资产负债率越低，企业资产的流动性越弱</w:t>
      </w:r>
    </w:p>
    <w:p>
      <w:pPr>
        <w:tabs>
          <w:tab w:val="left" w:pos="4253"/>
        </w:tabs>
        <w:rPr>
          <w:rFonts w:ascii="宋体" w:hAnsi="宋体"/>
          <w:color w:val="000000"/>
          <w:szCs w:val="21"/>
        </w:rPr>
      </w:pPr>
      <w:r>
        <w:rPr>
          <w:rFonts w:hint="eastAsia" w:ascii="宋体" w:hAnsi="宋体"/>
          <w:color w:val="000000"/>
          <w:szCs w:val="21"/>
        </w:rPr>
        <w:t>B.资产负债率越高，企业短期偿债能力越强</w:t>
      </w:r>
    </w:p>
    <w:p>
      <w:pPr>
        <w:tabs>
          <w:tab w:val="left" w:pos="4253"/>
        </w:tabs>
        <w:rPr>
          <w:rFonts w:ascii="宋体" w:hAnsi="宋体"/>
          <w:color w:val="000000"/>
          <w:szCs w:val="21"/>
        </w:rPr>
      </w:pPr>
      <w:r>
        <w:rPr>
          <w:rFonts w:hint="eastAsia" w:ascii="宋体" w:hAnsi="宋体"/>
          <w:color w:val="000000"/>
          <w:szCs w:val="21"/>
        </w:rPr>
        <w:t>C.资产负债率越高，企业长期偿债能力越弱</w:t>
      </w:r>
    </w:p>
    <w:p>
      <w:pPr>
        <w:tabs>
          <w:tab w:val="left" w:pos="4253"/>
        </w:tabs>
        <w:rPr>
          <w:rFonts w:ascii="宋体" w:hAnsi="宋体"/>
          <w:color w:val="000000"/>
          <w:szCs w:val="21"/>
        </w:rPr>
      </w:pPr>
      <w:r>
        <w:rPr>
          <w:rFonts w:hint="eastAsia" w:ascii="宋体" w:hAnsi="宋体"/>
          <w:color w:val="000000"/>
          <w:szCs w:val="21"/>
        </w:rPr>
        <w:t>D.资产负债率越高，企业立即偿还到期债务的能力越强</w:t>
      </w:r>
    </w:p>
    <w:p>
      <w:pPr>
        <w:tabs>
          <w:tab w:val="left" w:pos="4253"/>
        </w:tabs>
        <w:rPr>
          <w:rFonts w:ascii="宋体" w:hAnsi="宋体"/>
          <w:color w:val="000000"/>
          <w:szCs w:val="21"/>
        </w:rPr>
      </w:pPr>
      <w:r>
        <w:rPr>
          <w:rFonts w:ascii="宋体" w:hAnsi="宋体"/>
          <w:color w:val="000000"/>
          <w:szCs w:val="21"/>
        </w:rPr>
        <w:t>1</w:t>
      </w:r>
      <w:r>
        <w:rPr>
          <w:rFonts w:hint="eastAsia" w:ascii="宋体" w:hAnsi="宋体"/>
          <w:color w:val="000000"/>
          <w:szCs w:val="21"/>
        </w:rPr>
        <w:t xml:space="preserve">0.杜邦分析体系的核心指标是（ </w:t>
      </w:r>
      <w:r>
        <w:rPr>
          <w:rFonts w:ascii="宋体" w:hAnsi="宋体"/>
          <w:color w:val="000000"/>
          <w:szCs w:val="21"/>
        </w:rPr>
        <w:t xml:space="preserve">    </w:t>
      </w:r>
      <w:r>
        <w:rPr>
          <w:rFonts w:hint="eastAsia" w:ascii="宋体" w:hAnsi="宋体"/>
          <w:color w:val="000000"/>
          <w:szCs w:val="21"/>
        </w:rPr>
        <w:t>）</w:t>
      </w:r>
    </w:p>
    <w:p>
      <w:pPr>
        <w:tabs>
          <w:tab w:val="left" w:pos="4253"/>
        </w:tabs>
        <w:rPr>
          <w:rFonts w:ascii="宋体" w:hAnsi="宋体"/>
          <w:color w:val="000000"/>
          <w:szCs w:val="21"/>
        </w:rPr>
      </w:pPr>
      <w:r>
        <w:rPr>
          <w:rFonts w:hint="eastAsia" w:ascii="宋体" w:hAnsi="宋体"/>
          <w:color w:val="000000"/>
          <w:szCs w:val="21"/>
        </w:rPr>
        <w:t xml:space="preserve">A.销售净利率 </w:t>
      </w:r>
      <w:r>
        <w:rPr>
          <w:rFonts w:ascii="宋体" w:hAnsi="宋体"/>
          <w:color w:val="000000"/>
          <w:szCs w:val="21"/>
        </w:rPr>
        <w:t xml:space="preserve">    </w:t>
      </w:r>
      <w:r>
        <w:rPr>
          <w:rFonts w:hint="eastAsia" w:ascii="宋体" w:hAnsi="宋体"/>
          <w:color w:val="000000"/>
          <w:szCs w:val="21"/>
        </w:rPr>
        <w:t xml:space="preserve">B.总资产净利率 </w:t>
      </w:r>
      <w:r>
        <w:rPr>
          <w:rFonts w:ascii="宋体" w:hAnsi="宋体"/>
          <w:color w:val="000000"/>
          <w:szCs w:val="21"/>
        </w:rPr>
        <w:t xml:space="preserve">  </w:t>
      </w:r>
      <w:r>
        <w:rPr>
          <w:rFonts w:hint="eastAsia" w:ascii="宋体" w:hAnsi="宋体"/>
          <w:color w:val="000000"/>
          <w:szCs w:val="21"/>
        </w:rPr>
        <w:t>C.总资产周转率</w:t>
      </w:r>
      <w:r>
        <w:rPr>
          <w:rFonts w:hint="eastAsia" w:ascii="宋体" w:hAnsi="宋体"/>
          <w:color w:val="000000"/>
          <w:szCs w:val="21"/>
        </w:rPr>
        <w:tab/>
      </w:r>
      <w:r>
        <w:rPr>
          <w:rFonts w:hint="eastAsia" w:ascii="宋体" w:hAnsi="宋体"/>
          <w:color w:val="000000"/>
          <w:szCs w:val="21"/>
        </w:rPr>
        <w:t>D.净资产收益率</w:t>
      </w:r>
    </w:p>
    <w:p>
      <w:pPr>
        <w:tabs>
          <w:tab w:val="left" w:pos="4253"/>
        </w:tabs>
        <w:rPr>
          <w:rFonts w:ascii="宋体" w:hAnsi="宋体"/>
          <w:b/>
          <w:color w:val="000000"/>
          <w:szCs w:val="21"/>
        </w:rPr>
      </w:pPr>
      <w:r>
        <w:rPr>
          <w:rFonts w:hint="eastAsia" w:ascii="宋体" w:hAnsi="宋体"/>
          <w:b/>
          <w:color w:val="000000"/>
          <w:szCs w:val="21"/>
        </w:rPr>
        <w:t>二、判断题</w:t>
      </w:r>
    </w:p>
    <w:p>
      <w:pPr>
        <w:spacing w:line="320" w:lineRule="exact"/>
        <w:rPr>
          <w:color w:val="000000"/>
          <w:szCs w:val="21"/>
        </w:rPr>
      </w:pPr>
      <w:r>
        <w:rPr>
          <w:rFonts w:hint="eastAsia"/>
          <w:color w:val="000000"/>
          <w:szCs w:val="21"/>
        </w:rPr>
        <w:t>1</w:t>
      </w:r>
      <w:r>
        <w:rPr>
          <w:color w:val="000000"/>
          <w:szCs w:val="21"/>
        </w:rPr>
        <w:t>.</w:t>
      </w:r>
      <w:r>
        <w:rPr>
          <w:rFonts w:hint="eastAsia"/>
          <w:color w:val="000000"/>
          <w:szCs w:val="21"/>
        </w:rPr>
        <w:t xml:space="preserve">企业之所以持有一定数量的现金，主要是出于交易动机、预防动机和投机动机。（　 </w:t>
      </w:r>
      <w:r>
        <w:rPr>
          <w:color w:val="000000"/>
          <w:szCs w:val="21"/>
        </w:rPr>
        <w:t xml:space="preserve"> </w:t>
      </w:r>
      <w:r>
        <w:rPr>
          <w:rFonts w:hint="eastAsia"/>
          <w:color w:val="000000"/>
          <w:szCs w:val="21"/>
        </w:rPr>
        <w:t xml:space="preserve">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2</w:t>
      </w:r>
      <w:r>
        <w:rPr>
          <w:color w:val="000000"/>
          <w:szCs w:val="21"/>
        </w:rPr>
        <w:t>.</w:t>
      </w:r>
      <w:r>
        <w:rPr>
          <w:rFonts w:hint="eastAsia"/>
          <w:color w:val="000000"/>
          <w:szCs w:val="21"/>
        </w:rPr>
        <w:t xml:space="preserve">筹资渠道解决的是资金来源问题，筹资方式解决的是通过何方式取得资金的问题，它们之间不存在对应关系。（　 </w:t>
      </w:r>
      <w:r>
        <w:rPr>
          <w:color w:val="000000"/>
          <w:szCs w:val="21"/>
        </w:rPr>
        <w:t xml:space="preserve"> </w:t>
      </w:r>
      <w:r>
        <w:rPr>
          <w:rFonts w:hint="eastAsia"/>
          <w:color w:val="000000"/>
          <w:szCs w:val="21"/>
        </w:rPr>
        <w:t xml:space="preserve"> ）</w:t>
      </w:r>
    </w:p>
    <w:p>
      <w:pPr>
        <w:spacing w:line="320" w:lineRule="exact"/>
        <w:rPr>
          <w:color w:val="000000"/>
          <w:szCs w:val="21"/>
        </w:rPr>
      </w:pPr>
      <w:r>
        <w:rPr>
          <w:rFonts w:hint="eastAsia"/>
          <w:color w:val="000000"/>
          <w:szCs w:val="21"/>
        </w:rPr>
        <w:t>3</w:t>
      </w:r>
      <w:r>
        <w:rPr>
          <w:color w:val="000000"/>
          <w:szCs w:val="21"/>
        </w:rPr>
        <w:t>.</w:t>
      </w:r>
      <w:r>
        <w:rPr>
          <w:rFonts w:hint="eastAsia"/>
          <w:color w:val="000000"/>
          <w:szCs w:val="21"/>
        </w:rPr>
        <w:t xml:space="preserve">经营杠杆能够扩大市场和生产等不确定性因素对利润变动的影响。（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4</w:t>
      </w:r>
      <w:r>
        <w:rPr>
          <w:color w:val="000000"/>
          <w:szCs w:val="21"/>
        </w:rPr>
        <w:t>.</w:t>
      </w:r>
      <w:r>
        <w:rPr>
          <w:rFonts w:hint="eastAsia"/>
          <w:color w:val="000000"/>
          <w:szCs w:val="21"/>
        </w:rPr>
        <w:t xml:space="preserve">在除息日之前，股利权利从属于股票：从除息日开始，新购入股票的投资者不能分享本次已宣告发放的股利。（ </w:t>
      </w:r>
      <w:r>
        <w:rPr>
          <w:color w:val="000000"/>
          <w:szCs w:val="21"/>
        </w:rPr>
        <w:t xml:space="preserve"> </w:t>
      </w:r>
      <w:r>
        <w:rPr>
          <w:rFonts w:hint="eastAsia"/>
          <w:color w:val="000000"/>
          <w:szCs w:val="21"/>
        </w:rPr>
        <w:t xml:space="preserve"> 　）</w:t>
      </w:r>
    </w:p>
    <w:p>
      <w:pPr>
        <w:spacing w:line="320" w:lineRule="exact"/>
        <w:rPr>
          <w:color w:val="000000"/>
          <w:szCs w:val="21"/>
        </w:rPr>
      </w:pPr>
      <w:r>
        <w:rPr>
          <w:rFonts w:hint="eastAsia"/>
          <w:color w:val="000000"/>
          <w:szCs w:val="21"/>
        </w:rPr>
        <w:t>5</w:t>
      </w:r>
      <w:r>
        <w:rPr>
          <w:color w:val="000000"/>
          <w:szCs w:val="21"/>
        </w:rPr>
        <w:t>.</w:t>
      </w:r>
      <w:r>
        <w:rPr>
          <w:rFonts w:hint="eastAsia"/>
          <w:color w:val="000000"/>
          <w:szCs w:val="21"/>
        </w:rPr>
        <w:t xml:space="preserve">证券组合风险的大小，等于组合中各个证券风险的加权平均数。（　 </w:t>
      </w:r>
      <w:r>
        <w:rPr>
          <w:color w:val="000000"/>
          <w:szCs w:val="21"/>
        </w:rPr>
        <w:t xml:space="preserve">  </w:t>
      </w:r>
      <w:r>
        <w:rPr>
          <w:rFonts w:hint="eastAsia"/>
          <w:color w:val="000000"/>
          <w:szCs w:val="21"/>
        </w:rPr>
        <w:t>）</w:t>
      </w:r>
    </w:p>
    <w:p>
      <w:pPr>
        <w:spacing w:line="320" w:lineRule="exact"/>
        <w:rPr>
          <w:color w:val="000000"/>
          <w:szCs w:val="21"/>
        </w:rPr>
      </w:pPr>
      <w:r>
        <w:rPr>
          <w:color w:val="000000"/>
          <w:szCs w:val="21"/>
        </w:rPr>
        <w:t>6.</w:t>
      </w:r>
      <w:r>
        <w:rPr>
          <w:rFonts w:hint="eastAsia"/>
          <w:color w:val="000000"/>
          <w:szCs w:val="21"/>
        </w:rPr>
        <w:t xml:space="preserve">根据财务管理理论，按照三阶段模型估算的普通股价值，等于股利高速增长阶段现值、股利固定增长阶段现值和股利固定不变阶段现值之和。（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7</w:t>
      </w:r>
      <w:r>
        <w:rPr>
          <w:color w:val="000000"/>
          <w:szCs w:val="21"/>
        </w:rPr>
        <w:t>. 一般情况下，使某投资方案的净现值</w:t>
      </w:r>
      <w:r>
        <w:rPr>
          <w:rFonts w:hint="eastAsia"/>
          <w:color w:val="000000"/>
          <w:szCs w:val="21"/>
        </w:rPr>
        <w:t>大</w:t>
      </w:r>
      <w:r>
        <w:rPr>
          <w:color w:val="000000"/>
          <w:szCs w:val="21"/>
        </w:rPr>
        <w:t>于零的折现率，一定</w:t>
      </w:r>
      <w:r>
        <w:rPr>
          <w:rFonts w:hint="eastAsia"/>
          <w:color w:val="000000"/>
          <w:szCs w:val="21"/>
        </w:rPr>
        <w:t>低于</w:t>
      </w:r>
      <w:r>
        <w:rPr>
          <w:color w:val="000000"/>
          <w:szCs w:val="21"/>
        </w:rPr>
        <w:t>该投资方案的内含报酬率。（　</w:t>
      </w:r>
      <w:r>
        <w:rPr>
          <w:rFonts w:hint="eastAsia"/>
          <w:color w:val="000000"/>
          <w:szCs w:val="21"/>
        </w:rPr>
        <w:t xml:space="preserve">  </w:t>
      </w:r>
      <w:r>
        <w:rPr>
          <w:color w:val="000000"/>
          <w:szCs w:val="21"/>
        </w:rPr>
        <w:t xml:space="preserve">  ）</w:t>
      </w:r>
    </w:p>
    <w:p>
      <w:pPr>
        <w:spacing w:line="320" w:lineRule="exact"/>
        <w:rPr>
          <w:color w:val="000000"/>
          <w:szCs w:val="21"/>
        </w:rPr>
      </w:pPr>
      <w:r>
        <w:rPr>
          <w:color w:val="000000"/>
          <w:szCs w:val="21"/>
        </w:rPr>
        <w:t>8.</w:t>
      </w:r>
      <w:r>
        <w:rPr>
          <w:rFonts w:hint="eastAsia"/>
          <w:color w:val="000000"/>
          <w:szCs w:val="21"/>
        </w:rPr>
        <w:t xml:space="preserve">在有关资金时间价值指标的计算过程中，普通年金现值与普通年金终值是互为逆运算的关系。（ </w:t>
      </w:r>
      <w:r>
        <w:rPr>
          <w:color w:val="000000"/>
          <w:szCs w:val="21"/>
        </w:rPr>
        <w:t xml:space="preserve">    </w:t>
      </w:r>
      <w:r>
        <w:rPr>
          <w:rFonts w:hint="eastAsia"/>
          <w:color w:val="000000"/>
          <w:szCs w:val="21"/>
        </w:rPr>
        <w:t>）</w:t>
      </w:r>
    </w:p>
    <w:p>
      <w:pPr>
        <w:spacing w:line="320" w:lineRule="exact"/>
        <w:rPr>
          <w:color w:val="000000"/>
          <w:szCs w:val="21"/>
        </w:rPr>
      </w:pPr>
      <w:r>
        <w:rPr>
          <w:color w:val="000000"/>
          <w:szCs w:val="21"/>
        </w:rPr>
        <w:t>9.如果企业的借款能力较</w:t>
      </w:r>
      <w:r>
        <w:rPr>
          <w:rFonts w:hint="eastAsia"/>
          <w:color w:val="000000"/>
          <w:szCs w:val="21"/>
        </w:rPr>
        <w:t>强</w:t>
      </w:r>
      <w:r>
        <w:rPr>
          <w:color w:val="000000"/>
          <w:szCs w:val="21"/>
        </w:rPr>
        <w:t>，保障程度较</w:t>
      </w:r>
      <w:r>
        <w:rPr>
          <w:rFonts w:hint="eastAsia"/>
          <w:color w:val="000000"/>
          <w:szCs w:val="21"/>
        </w:rPr>
        <w:t>高</w:t>
      </w:r>
      <w:r>
        <w:rPr>
          <w:color w:val="000000"/>
          <w:szCs w:val="21"/>
        </w:rPr>
        <w:t>，则可适当</w:t>
      </w:r>
      <w:r>
        <w:rPr>
          <w:rFonts w:hint="eastAsia"/>
          <w:color w:val="000000"/>
          <w:szCs w:val="21"/>
        </w:rPr>
        <w:t>提高</w:t>
      </w:r>
      <w:r>
        <w:rPr>
          <w:color w:val="000000"/>
          <w:szCs w:val="21"/>
        </w:rPr>
        <w:t>预防性现金的数额。（　</w:t>
      </w:r>
      <w:r>
        <w:rPr>
          <w:rFonts w:hint="eastAsia"/>
          <w:color w:val="000000"/>
          <w:szCs w:val="21"/>
        </w:rPr>
        <w:t xml:space="preserve"> </w:t>
      </w:r>
      <w:r>
        <w:rPr>
          <w:color w:val="000000"/>
          <w:szCs w:val="21"/>
        </w:rPr>
        <w:t xml:space="preserve"> </w:t>
      </w:r>
      <w:r>
        <w:rPr>
          <w:rFonts w:hint="eastAsia"/>
          <w:color w:val="000000"/>
          <w:szCs w:val="21"/>
        </w:rPr>
        <w:t xml:space="preserve"> </w:t>
      </w:r>
      <w:r>
        <w:rPr>
          <w:color w:val="000000"/>
          <w:szCs w:val="21"/>
        </w:rPr>
        <w:t xml:space="preserve"> ）</w:t>
      </w:r>
    </w:p>
    <w:p>
      <w:pPr>
        <w:spacing w:line="320" w:lineRule="exact"/>
        <w:rPr>
          <w:color w:val="000000"/>
          <w:szCs w:val="21"/>
        </w:rPr>
      </w:pPr>
      <w:r>
        <w:rPr>
          <w:color w:val="000000"/>
          <w:szCs w:val="21"/>
        </w:rPr>
        <w:t>10.</w:t>
      </w:r>
      <w:r>
        <w:rPr>
          <w:rFonts w:hint="eastAsia"/>
          <w:color w:val="000000"/>
          <w:szCs w:val="21"/>
        </w:rPr>
        <w:t xml:space="preserve">根据项目投资理论，完整工业项目运营期某年的所得税前净现金流量等于该年的净营运 现金流量。（ </w:t>
      </w:r>
      <w:r>
        <w:rPr>
          <w:color w:val="000000"/>
          <w:szCs w:val="21"/>
        </w:rPr>
        <w:t xml:space="preserve"> </w:t>
      </w:r>
      <w:r>
        <w:rPr>
          <w:rFonts w:hint="eastAsia"/>
          <w:color w:val="000000"/>
          <w:szCs w:val="21"/>
        </w:rPr>
        <w:t>　）</w:t>
      </w:r>
    </w:p>
    <w:p>
      <w:pPr>
        <w:pStyle w:val="2"/>
        <w:tabs>
          <w:tab w:val="left" w:pos="840"/>
        </w:tabs>
        <w:spacing w:before="0" w:beforeAutospacing="0" w:after="0" w:afterAutospacing="0"/>
        <w:rPr>
          <w:b/>
          <w:sz w:val="21"/>
          <w:szCs w:val="21"/>
        </w:rPr>
      </w:pPr>
      <w:r>
        <w:rPr>
          <w:rFonts w:hint="eastAsia"/>
          <w:b/>
          <w:sz w:val="21"/>
          <w:szCs w:val="21"/>
        </w:rPr>
        <w:t>三、名词解释</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1.</w:t>
      </w:r>
      <w:r>
        <w:rPr>
          <w:rFonts w:hint="eastAsia" w:ascii="宋体" w:hAnsi="宋体"/>
          <w:szCs w:val="21"/>
        </w:rPr>
        <w:t>财务风险</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2.资本成本</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 xml:space="preserve">  </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3.内涵报酬率</w:t>
      </w:r>
    </w:p>
    <w:p>
      <w:pPr>
        <w:rPr>
          <w:szCs w:val="21"/>
        </w:rPr>
      </w:pPr>
    </w:p>
    <w:p>
      <w:pPr>
        <w:rPr>
          <w:szCs w:val="21"/>
        </w:rPr>
      </w:pPr>
    </w:p>
    <w:p>
      <w:pPr>
        <w:rPr>
          <w:rFonts w:eastAsiaTheme="minorEastAsia"/>
          <w:szCs w:val="21"/>
        </w:rPr>
      </w:pPr>
      <w:r>
        <w:rPr>
          <w:rFonts w:hint="eastAsia" w:asciiTheme="minorEastAsia" w:hAnsiTheme="minorEastAsia" w:eastAsiaTheme="minorEastAsia"/>
          <w:szCs w:val="21"/>
        </w:rPr>
        <w:t>4.</w:t>
      </w:r>
      <w:r>
        <w:rPr>
          <w:rFonts w:hint="eastAsia" w:eastAsiaTheme="minorEastAsia"/>
          <w:szCs w:val="21"/>
        </w:rPr>
        <w:t>股票分割</w:t>
      </w:r>
    </w:p>
    <w:p>
      <w:pPr>
        <w:rPr>
          <w:szCs w:val="21"/>
        </w:rPr>
      </w:pPr>
    </w:p>
    <w:p>
      <w:pPr>
        <w:rPr>
          <w:szCs w:val="21"/>
        </w:rPr>
      </w:pPr>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color w:val="000000"/>
          <w:szCs w:val="21"/>
        </w:rPr>
        <w:t>发行债券筹资的优缺点。</w:t>
      </w: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r>
        <w:rPr>
          <w:rFonts w:hint="eastAsia" w:ascii="宋体" w:hAnsi="宋体" w:cs="宋体"/>
          <w:szCs w:val="21"/>
        </w:rPr>
        <w:t>2.</w:t>
      </w:r>
      <w:r>
        <w:rPr>
          <w:rFonts w:hint="eastAsia"/>
          <w:szCs w:val="21"/>
        </w:rPr>
        <w:t>公司如何确定股利政策。</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五、计算与案例分析题</w:t>
      </w:r>
    </w:p>
    <w:p>
      <w:pPr>
        <w:jc w:val="left"/>
        <w:rPr>
          <w:rFonts w:ascii="宋体" w:hAnsi="宋体"/>
          <w:bCs/>
          <w:kern w:val="0"/>
          <w:szCs w:val="21"/>
        </w:rPr>
      </w:pPr>
      <w:r>
        <w:rPr>
          <w:rFonts w:hint="eastAsia"/>
          <w:color w:val="000000"/>
          <w:szCs w:val="21"/>
        </w:rPr>
        <w:t>1.</w:t>
      </w:r>
      <w:r>
        <w:rPr>
          <w:rFonts w:hint="eastAsia" w:ascii="宋体" w:hAnsi="宋体"/>
          <w:bCs/>
          <w:kern w:val="0"/>
          <w:szCs w:val="21"/>
        </w:rPr>
        <w:t xml:space="preserve">某企业的意向供应商有两家，给的条件分别为甲公司（2／10，N／40）、乙公司（1／20，N／50），采购标的是1000万，给企业当前没有不够的现金，但可以贷款，同期银行短期贷款利率为8%。 要求： </w:t>
      </w:r>
    </w:p>
    <w:p>
      <w:pPr>
        <w:jc w:val="left"/>
        <w:rPr>
          <w:rFonts w:ascii="宋体" w:hAnsi="宋体"/>
          <w:bCs/>
          <w:kern w:val="0"/>
          <w:szCs w:val="21"/>
        </w:rPr>
      </w:pPr>
      <w:r>
        <w:rPr>
          <w:rFonts w:hint="eastAsia" w:ascii="宋体" w:hAnsi="宋体"/>
          <w:bCs/>
          <w:kern w:val="0"/>
          <w:szCs w:val="21"/>
        </w:rPr>
        <w:t xml:space="preserve">（1）分别计算放弃甲乙公司现金折扣的机会成本； </w:t>
      </w:r>
    </w:p>
    <w:p>
      <w:pPr>
        <w:jc w:val="left"/>
        <w:rPr>
          <w:rFonts w:ascii="宋体" w:hAnsi="宋体"/>
          <w:bCs/>
          <w:kern w:val="0"/>
          <w:szCs w:val="21"/>
        </w:rPr>
      </w:pPr>
      <w:r>
        <w:rPr>
          <w:rFonts w:hint="eastAsia" w:ascii="宋体" w:hAnsi="宋体"/>
          <w:bCs/>
          <w:kern w:val="0"/>
          <w:szCs w:val="21"/>
        </w:rPr>
        <w:t xml:space="preserve">（2）你认为该企业应如何进行采购决策（包括：选哪一家、如何付款等）； </w:t>
      </w:r>
    </w:p>
    <w:p>
      <w:pPr>
        <w:tabs>
          <w:tab w:val="left" w:pos="4253"/>
        </w:tabs>
        <w:rPr>
          <w:rFonts w:ascii="宋体" w:hAnsi="宋体"/>
          <w:color w:val="000000"/>
          <w:szCs w:val="21"/>
        </w:rPr>
      </w:pPr>
    </w:p>
    <w:p>
      <w:pPr>
        <w:rPr>
          <w:rFonts w:asciiTheme="minorEastAsia" w:hAnsiTheme="minorEastAsia" w:eastAsiaTheme="minorEastAsia"/>
          <w:szCs w:val="21"/>
        </w:rPr>
      </w:pPr>
    </w:p>
    <w:p>
      <w:pPr>
        <w:tabs>
          <w:tab w:val="left" w:pos="4253"/>
        </w:tabs>
        <w:rPr>
          <w:rFonts w:ascii="宋体" w:hAnsi="宋体"/>
          <w:bCs/>
          <w:kern w:val="0"/>
          <w:szCs w:val="21"/>
        </w:rPr>
      </w:pPr>
      <w:r>
        <w:rPr>
          <w:rFonts w:hint="eastAsia" w:ascii="宋体" w:hAnsi="宋体"/>
          <w:bCs/>
          <w:kern w:val="0"/>
          <w:szCs w:val="21"/>
        </w:rPr>
        <w:t>2.某公司有一项目，需固定资产投资1250万元，经济使用期6年，采用直线法计提折旧，残值50万，6年中每年营业收入为60</w:t>
      </w:r>
      <w:r>
        <w:rPr>
          <w:rFonts w:ascii="宋体" w:hAnsi="宋体"/>
          <w:bCs/>
          <w:kern w:val="0"/>
          <w:szCs w:val="21"/>
        </w:rPr>
        <w:t>0</w:t>
      </w:r>
      <w:r>
        <w:rPr>
          <w:rFonts w:hint="eastAsia" w:ascii="宋体" w:hAnsi="宋体"/>
          <w:bCs/>
          <w:kern w:val="0"/>
          <w:szCs w:val="21"/>
        </w:rPr>
        <w:t>万元，每年的付现成本为20</w:t>
      </w:r>
      <w:r>
        <w:rPr>
          <w:rFonts w:ascii="宋体" w:hAnsi="宋体"/>
          <w:bCs/>
          <w:kern w:val="0"/>
          <w:szCs w:val="21"/>
        </w:rPr>
        <w:t>0</w:t>
      </w:r>
      <w:r>
        <w:rPr>
          <w:rFonts w:hint="eastAsia" w:ascii="宋体" w:hAnsi="宋体"/>
          <w:bCs/>
          <w:kern w:val="0"/>
          <w:szCs w:val="21"/>
        </w:rPr>
        <w:t>万元。假设公司要求的投资收益率为10%，所得税税率为25％。要求：</w:t>
      </w:r>
    </w:p>
    <w:p>
      <w:pPr>
        <w:tabs>
          <w:tab w:val="left" w:pos="4253"/>
        </w:tabs>
        <w:rPr>
          <w:rFonts w:ascii="宋体" w:hAnsi="宋体"/>
          <w:bCs/>
          <w:kern w:val="0"/>
          <w:szCs w:val="21"/>
        </w:rPr>
      </w:pPr>
      <w:r>
        <w:rPr>
          <w:rFonts w:hint="eastAsia" w:ascii="宋体" w:hAnsi="宋体"/>
          <w:bCs/>
          <w:kern w:val="0"/>
          <w:szCs w:val="21"/>
        </w:rPr>
        <w:t>（1）计算每年的现金净流量；</w:t>
      </w:r>
    </w:p>
    <w:p>
      <w:pPr>
        <w:tabs>
          <w:tab w:val="left" w:pos="4253"/>
        </w:tabs>
        <w:rPr>
          <w:rFonts w:ascii="宋体" w:hAnsi="宋体"/>
        </w:rPr>
      </w:pPr>
      <w:r>
        <w:rPr>
          <w:rFonts w:hint="eastAsia" w:ascii="宋体" w:hAnsi="宋体"/>
          <w:bCs/>
          <w:kern w:val="0"/>
          <w:szCs w:val="21"/>
        </w:rPr>
        <w:t>（</w:t>
      </w:r>
      <w:r>
        <w:rPr>
          <w:rFonts w:ascii="宋体" w:hAnsi="宋体"/>
          <w:bCs/>
          <w:kern w:val="0"/>
          <w:szCs w:val="21"/>
        </w:rPr>
        <w:t>2</w:t>
      </w:r>
      <w:r>
        <w:rPr>
          <w:rFonts w:hint="eastAsia" w:ascii="宋体" w:hAnsi="宋体"/>
          <w:bCs/>
          <w:kern w:val="0"/>
          <w:szCs w:val="21"/>
        </w:rPr>
        <w:t>）计算该项目的投资回收期、净现值和内含报酬率？（结果保留小数点后两位）</w:t>
      </w:r>
    </w:p>
    <w:p>
      <w:pPr>
        <w:rPr>
          <w:rFonts w:ascii="宋体" w:hAnsi="宋体"/>
        </w:rPr>
      </w:pPr>
    </w:p>
    <w:p>
      <w:pPr>
        <w:rPr>
          <w:rFonts w:ascii="宋体" w:hAnsi="宋体"/>
        </w:rPr>
      </w:pPr>
    </w:p>
    <w:p>
      <w:pPr>
        <w:rPr>
          <w:rFonts w:ascii="宋体" w:hAnsi="宋体"/>
        </w:rPr>
      </w:pPr>
    </w:p>
    <w:p>
      <w:pPr>
        <w:pStyle w:val="2"/>
        <w:tabs>
          <w:tab w:val="left" w:pos="840"/>
        </w:tabs>
        <w:spacing w:before="0" w:beforeAutospacing="0" w:after="0" w:afterAutospacing="0"/>
        <w:rPr>
          <w:rFonts w:hint="eastAsia"/>
          <w:b/>
          <w:bCs/>
          <w:sz w:val="21"/>
          <w:szCs w:val="21"/>
        </w:rPr>
      </w:pPr>
      <w:r>
        <w:rPr>
          <w:rFonts w:hint="eastAsia"/>
          <w:b/>
          <w:sz w:val="21"/>
          <w:szCs w:val="21"/>
          <w:lang w:eastAsia="zh-CN"/>
        </w:rPr>
        <w:t>一</w:t>
      </w:r>
      <w:r>
        <w:rPr>
          <w:rFonts w:hint="eastAsia"/>
          <w:b/>
          <w:sz w:val="21"/>
          <w:szCs w:val="21"/>
        </w:rPr>
        <w:t>、单项选择题</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1</w:t>
            </w:r>
          </w:p>
        </w:tc>
        <w:tc>
          <w:tcPr>
            <w:tcW w:w="800" w:type="dxa"/>
            <w:noWrap w:val="0"/>
            <w:vAlign w:val="center"/>
          </w:tcPr>
          <w:p>
            <w:pPr>
              <w:jc w:val="center"/>
              <w:rPr>
                <w:rFonts w:hint="eastAsia" w:ascii="宋体" w:hAnsi="宋体"/>
                <w:sz w:val="24"/>
              </w:rPr>
            </w:pPr>
            <w:r>
              <w:rPr>
                <w:rFonts w:hint="eastAsia" w:ascii="宋体" w:hAnsi="宋体"/>
                <w:sz w:val="24"/>
              </w:rPr>
              <w:t>2</w:t>
            </w:r>
          </w:p>
        </w:tc>
        <w:tc>
          <w:tcPr>
            <w:tcW w:w="801" w:type="dxa"/>
            <w:noWrap w:val="0"/>
            <w:vAlign w:val="center"/>
          </w:tcPr>
          <w:p>
            <w:pPr>
              <w:jc w:val="center"/>
              <w:rPr>
                <w:rFonts w:hint="eastAsia" w:ascii="宋体" w:hAnsi="宋体"/>
                <w:sz w:val="24"/>
              </w:rPr>
            </w:pPr>
            <w:r>
              <w:rPr>
                <w:rFonts w:hint="eastAsia" w:ascii="宋体" w:hAnsi="宋体"/>
                <w:sz w:val="24"/>
              </w:rPr>
              <w:t>3</w:t>
            </w:r>
          </w:p>
        </w:tc>
        <w:tc>
          <w:tcPr>
            <w:tcW w:w="801" w:type="dxa"/>
            <w:noWrap w:val="0"/>
            <w:vAlign w:val="center"/>
          </w:tcPr>
          <w:p>
            <w:pPr>
              <w:jc w:val="center"/>
              <w:rPr>
                <w:rFonts w:hint="eastAsia" w:ascii="宋体" w:hAnsi="宋体"/>
                <w:sz w:val="24"/>
              </w:rPr>
            </w:pPr>
            <w:r>
              <w:rPr>
                <w:rFonts w:hint="eastAsia" w:ascii="宋体" w:hAnsi="宋体"/>
                <w:sz w:val="24"/>
              </w:rPr>
              <w:t>4</w:t>
            </w:r>
          </w:p>
        </w:tc>
        <w:tc>
          <w:tcPr>
            <w:tcW w:w="801" w:type="dxa"/>
            <w:noWrap w:val="0"/>
            <w:vAlign w:val="center"/>
          </w:tcPr>
          <w:p>
            <w:pPr>
              <w:jc w:val="center"/>
              <w:rPr>
                <w:rFonts w:hint="eastAsia" w:ascii="宋体" w:hAnsi="宋体"/>
                <w:sz w:val="24"/>
              </w:rPr>
            </w:pPr>
            <w:r>
              <w:rPr>
                <w:rFonts w:hint="eastAsia" w:ascii="宋体" w:hAnsi="宋体"/>
                <w:sz w:val="24"/>
              </w:rPr>
              <w:t>5</w:t>
            </w:r>
          </w:p>
        </w:tc>
        <w:tc>
          <w:tcPr>
            <w:tcW w:w="800" w:type="dxa"/>
            <w:noWrap w:val="0"/>
            <w:vAlign w:val="center"/>
          </w:tcPr>
          <w:p>
            <w:pPr>
              <w:jc w:val="center"/>
              <w:rPr>
                <w:rFonts w:hint="eastAsia" w:ascii="宋体" w:hAnsi="宋体"/>
                <w:sz w:val="24"/>
              </w:rPr>
            </w:pPr>
            <w:r>
              <w:rPr>
                <w:rFonts w:hint="eastAsia" w:ascii="宋体" w:hAnsi="宋体"/>
                <w:sz w:val="24"/>
              </w:rPr>
              <w:t>6</w:t>
            </w:r>
          </w:p>
        </w:tc>
        <w:tc>
          <w:tcPr>
            <w:tcW w:w="800" w:type="dxa"/>
            <w:noWrap w:val="0"/>
            <w:vAlign w:val="center"/>
          </w:tcPr>
          <w:p>
            <w:pPr>
              <w:jc w:val="center"/>
              <w:rPr>
                <w:rFonts w:hint="eastAsia" w:ascii="宋体" w:hAnsi="宋体"/>
                <w:sz w:val="24"/>
              </w:rPr>
            </w:pPr>
            <w:r>
              <w:rPr>
                <w:rFonts w:hint="eastAsia" w:ascii="宋体" w:hAnsi="宋体"/>
                <w:sz w:val="24"/>
              </w:rPr>
              <w:t>7</w:t>
            </w:r>
          </w:p>
        </w:tc>
        <w:tc>
          <w:tcPr>
            <w:tcW w:w="800" w:type="dxa"/>
            <w:noWrap w:val="0"/>
            <w:vAlign w:val="center"/>
          </w:tcPr>
          <w:p>
            <w:pPr>
              <w:jc w:val="center"/>
              <w:rPr>
                <w:rFonts w:hint="eastAsia" w:ascii="宋体" w:hAnsi="宋体"/>
                <w:sz w:val="24"/>
              </w:rPr>
            </w:pPr>
            <w:r>
              <w:rPr>
                <w:rFonts w:hint="eastAsia" w:ascii="宋体" w:hAnsi="宋体"/>
                <w:sz w:val="24"/>
              </w:rPr>
              <w:t>8</w:t>
            </w:r>
          </w:p>
        </w:tc>
        <w:tc>
          <w:tcPr>
            <w:tcW w:w="800" w:type="dxa"/>
            <w:noWrap w:val="0"/>
            <w:vAlign w:val="center"/>
          </w:tcPr>
          <w:p>
            <w:pPr>
              <w:jc w:val="center"/>
              <w:rPr>
                <w:rFonts w:hint="eastAsia" w:ascii="宋体" w:hAnsi="宋体"/>
                <w:sz w:val="24"/>
              </w:rPr>
            </w:pPr>
            <w:r>
              <w:rPr>
                <w:rFonts w:hint="eastAsia" w:ascii="宋体" w:hAnsi="宋体"/>
                <w:sz w:val="24"/>
              </w:rPr>
              <w:t>9</w:t>
            </w:r>
          </w:p>
        </w:tc>
        <w:tc>
          <w:tcPr>
            <w:tcW w:w="800" w:type="dxa"/>
            <w:noWrap w:val="0"/>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B</w:t>
            </w:r>
          </w:p>
        </w:tc>
        <w:tc>
          <w:tcPr>
            <w:tcW w:w="800" w:type="dxa"/>
            <w:noWrap w:val="0"/>
            <w:vAlign w:val="center"/>
          </w:tcPr>
          <w:p>
            <w:pPr>
              <w:jc w:val="center"/>
              <w:rPr>
                <w:rFonts w:hint="eastAsia" w:ascii="宋体" w:hAnsi="宋体"/>
                <w:sz w:val="24"/>
              </w:rPr>
            </w:pPr>
            <w:r>
              <w:rPr>
                <w:rFonts w:hint="eastAsia" w:ascii="宋体" w:hAnsi="宋体"/>
                <w:sz w:val="24"/>
              </w:rPr>
              <w:t>B</w:t>
            </w:r>
          </w:p>
        </w:tc>
        <w:tc>
          <w:tcPr>
            <w:tcW w:w="801" w:type="dxa"/>
            <w:noWrap w:val="0"/>
            <w:vAlign w:val="center"/>
          </w:tcPr>
          <w:p>
            <w:pPr>
              <w:jc w:val="center"/>
              <w:rPr>
                <w:rFonts w:hint="eastAsia" w:ascii="宋体" w:hAnsi="宋体"/>
                <w:sz w:val="24"/>
              </w:rPr>
            </w:pPr>
            <w:r>
              <w:rPr>
                <w:rFonts w:ascii="宋体" w:hAnsi="宋体"/>
                <w:sz w:val="24"/>
              </w:rPr>
              <w:t>D</w:t>
            </w:r>
          </w:p>
        </w:tc>
        <w:tc>
          <w:tcPr>
            <w:tcW w:w="801" w:type="dxa"/>
            <w:noWrap w:val="0"/>
            <w:vAlign w:val="center"/>
          </w:tcPr>
          <w:p>
            <w:pPr>
              <w:jc w:val="center"/>
              <w:rPr>
                <w:rFonts w:hint="eastAsia" w:ascii="宋体" w:hAnsi="宋体"/>
                <w:sz w:val="24"/>
              </w:rPr>
            </w:pPr>
            <w:r>
              <w:rPr>
                <w:rFonts w:ascii="宋体" w:hAnsi="宋体"/>
                <w:sz w:val="24"/>
              </w:rPr>
              <w:t>A</w:t>
            </w:r>
          </w:p>
        </w:tc>
        <w:tc>
          <w:tcPr>
            <w:tcW w:w="801" w:type="dxa"/>
            <w:noWrap w:val="0"/>
            <w:vAlign w:val="center"/>
          </w:tcPr>
          <w:p>
            <w:pPr>
              <w:jc w:val="center"/>
              <w:rPr>
                <w:rFonts w:hint="eastAsia" w:ascii="宋体" w:hAnsi="宋体"/>
                <w:sz w:val="24"/>
              </w:rPr>
            </w:pPr>
            <w:r>
              <w:rPr>
                <w:rFonts w:ascii="宋体" w:hAnsi="宋体"/>
                <w:sz w:val="24"/>
              </w:rPr>
              <w:t>C</w:t>
            </w: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b/>
          <w:sz w:val="21"/>
          <w:szCs w:val="21"/>
        </w:rPr>
      </w:pPr>
      <w:r>
        <w:rPr>
          <w:rFonts w:hint="eastAsia"/>
          <w:b/>
          <w:sz w:val="21"/>
          <w:szCs w:val="21"/>
        </w:rPr>
        <w:t>二、判断题</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1</w:t>
            </w:r>
          </w:p>
        </w:tc>
        <w:tc>
          <w:tcPr>
            <w:tcW w:w="800" w:type="dxa"/>
            <w:noWrap w:val="0"/>
            <w:vAlign w:val="center"/>
          </w:tcPr>
          <w:p>
            <w:pPr>
              <w:jc w:val="center"/>
              <w:rPr>
                <w:rFonts w:hint="eastAsia" w:ascii="宋体" w:hAnsi="宋体"/>
                <w:sz w:val="24"/>
              </w:rPr>
            </w:pPr>
            <w:r>
              <w:rPr>
                <w:rFonts w:hint="eastAsia" w:ascii="宋体" w:hAnsi="宋体"/>
                <w:sz w:val="24"/>
              </w:rPr>
              <w:t>2</w:t>
            </w:r>
          </w:p>
        </w:tc>
        <w:tc>
          <w:tcPr>
            <w:tcW w:w="801" w:type="dxa"/>
            <w:noWrap w:val="0"/>
            <w:vAlign w:val="center"/>
          </w:tcPr>
          <w:p>
            <w:pPr>
              <w:jc w:val="center"/>
              <w:rPr>
                <w:rFonts w:hint="eastAsia" w:ascii="宋体" w:hAnsi="宋体"/>
                <w:sz w:val="24"/>
              </w:rPr>
            </w:pPr>
            <w:r>
              <w:rPr>
                <w:rFonts w:hint="eastAsia" w:ascii="宋体" w:hAnsi="宋体"/>
                <w:sz w:val="24"/>
              </w:rPr>
              <w:t>3</w:t>
            </w:r>
          </w:p>
        </w:tc>
        <w:tc>
          <w:tcPr>
            <w:tcW w:w="801" w:type="dxa"/>
            <w:noWrap w:val="0"/>
            <w:vAlign w:val="center"/>
          </w:tcPr>
          <w:p>
            <w:pPr>
              <w:jc w:val="center"/>
              <w:rPr>
                <w:rFonts w:hint="eastAsia" w:ascii="宋体" w:hAnsi="宋体"/>
                <w:sz w:val="24"/>
              </w:rPr>
            </w:pPr>
            <w:r>
              <w:rPr>
                <w:rFonts w:hint="eastAsia" w:ascii="宋体" w:hAnsi="宋体"/>
                <w:sz w:val="24"/>
              </w:rPr>
              <w:t>4</w:t>
            </w:r>
          </w:p>
        </w:tc>
        <w:tc>
          <w:tcPr>
            <w:tcW w:w="801" w:type="dxa"/>
            <w:noWrap w:val="0"/>
            <w:vAlign w:val="center"/>
          </w:tcPr>
          <w:p>
            <w:pPr>
              <w:jc w:val="center"/>
              <w:rPr>
                <w:rFonts w:hint="eastAsia" w:ascii="宋体" w:hAnsi="宋体"/>
                <w:sz w:val="24"/>
              </w:rPr>
            </w:pPr>
            <w:r>
              <w:rPr>
                <w:rFonts w:hint="eastAsia" w:ascii="宋体" w:hAnsi="宋体"/>
                <w:sz w:val="24"/>
              </w:rPr>
              <w:t>5</w:t>
            </w:r>
          </w:p>
        </w:tc>
        <w:tc>
          <w:tcPr>
            <w:tcW w:w="800" w:type="dxa"/>
            <w:noWrap w:val="0"/>
            <w:vAlign w:val="center"/>
          </w:tcPr>
          <w:p>
            <w:pPr>
              <w:jc w:val="center"/>
              <w:rPr>
                <w:rFonts w:hint="eastAsia" w:ascii="宋体" w:hAnsi="宋体"/>
                <w:sz w:val="24"/>
              </w:rPr>
            </w:pPr>
            <w:r>
              <w:rPr>
                <w:rFonts w:hint="eastAsia" w:ascii="宋体" w:hAnsi="宋体"/>
                <w:sz w:val="24"/>
              </w:rPr>
              <w:t>6</w:t>
            </w:r>
          </w:p>
        </w:tc>
        <w:tc>
          <w:tcPr>
            <w:tcW w:w="800" w:type="dxa"/>
            <w:noWrap w:val="0"/>
            <w:vAlign w:val="center"/>
          </w:tcPr>
          <w:p>
            <w:pPr>
              <w:jc w:val="center"/>
              <w:rPr>
                <w:rFonts w:hint="eastAsia" w:ascii="宋体" w:hAnsi="宋体"/>
                <w:sz w:val="24"/>
              </w:rPr>
            </w:pPr>
            <w:r>
              <w:rPr>
                <w:rFonts w:hint="eastAsia" w:ascii="宋体" w:hAnsi="宋体"/>
                <w:sz w:val="24"/>
              </w:rPr>
              <w:t>7</w:t>
            </w:r>
          </w:p>
        </w:tc>
        <w:tc>
          <w:tcPr>
            <w:tcW w:w="800" w:type="dxa"/>
            <w:noWrap w:val="0"/>
            <w:vAlign w:val="center"/>
          </w:tcPr>
          <w:p>
            <w:pPr>
              <w:jc w:val="center"/>
              <w:rPr>
                <w:rFonts w:hint="eastAsia" w:ascii="宋体" w:hAnsi="宋体"/>
                <w:sz w:val="24"/>
              </w:rPr>
            </w:pPr>
            <w:r>
              <w:rPr>
                <w:rFonts w:hint="eastAsia" w:ascii="宋体" w:hAnsi="宋体"/>
                <w:sz w:val="24"/>
              </w:rPr>
              <w:t>8</w:t>
            </w:r>
          </w:p>
        </w:tc>
        <w:tc>
          <w:tcPr>
            <w:tcW w:w="800" w:type="dxa"/>
            <w:noWrap w:val="0"/>
            <w:vAlign w:val="center"/>
          </w:tcPr>
          <w:p>
            <w:pPr>
              <w:jc w:val="center"/>
              <w:rPr>
                <w:rFonts w:hint="eastAsia" w:ascii="宋体" w:hAnsi="宋体"/>
                <w:sz w:val="24"/>
              </w:rPr>
            </w:pPr>
            <w:r>
              <w:rPr>
                <w:rFonts w:hint="eastAsia" w:ascii="宋体" w:hAnsi="宋体"/>
                <w:sz w:val="24"/>
              </w:rPr>
              <w:t>9</w:t>
            </w:r>
          </w:p>
        </w:tc>
        <w:tc>
          <w:tcPr>
            <w:tcW w:w="800" w:type="dxa"/>
            <w:noWrap w:val="0"/>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szCs w:val="21"/>
              </w:rPr>
              <w:t>√</w:t>
            </w:r>
          </w:p>
        </w:tc>
        <w:tc>
          <w:tcPr>
            <w:tcW w:w="800"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 xml:space="preserve"> ×</w:t>
            </w: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b/>
          <w:sz w:val="21"/>
          <w:szCs w:val="21"/>
        </w:rPr>
      </w:pPr>
      <w:r>
        <w:rPr>
          <w:rFonts w:hint="eastAsia"/>
          <w:b/>
          <w:sz w:val="21"/>
          <w:szCs w:val="21"/>
        </w:rPr>
        <w:t>三、名词解释</w:t>
      </w:r>
    </w:p>
    <w:p>
      <w:pPr>
        <w:pStyle w:val="2"/>
        <w:tabs>
          <w:tab w:val="left" w:pos="840"/>
        </w:tabs>
        <w:spacing w:before="0" w:beforeAutospacing="0" w:after="0" w:afterAutospacing="0"/>
        <w:rPr>
          <w:rFonts w:hint="eastAsia"/>
          <w:sz w:val="21"/>
          <w:szCs w:val="21"/>
        </w:rPr>
      </w:pPr>
      <w:r>
        <w:rPr>
          <w:rFonts w:hint="eastAsia"/>
          <w:sz w:val="21"/>
          <w:szCs w:val="21"/>
        </w:rPr>
        <w:t>1.财务风险：广义的财务风险指导致预期收益变动的可能性，狭义的财务风险指企业筹资相关的风险，是由筹资引起的收益变动和到期不能还本付息的可能性。（广义或狭义的答对一种即得分）</w:t>
      </w:r>
    </w:p>
    <w:p>
      <w:pPr>
        <w:pStyle w:val="2"/>
        <w:tabs>
          <w:tab w:val="left" w:pos="840"/>
        </w:tabs>
        <w:spacing w:before="0" w:beforeAutospacing="0" w:after="0" w:afterAutospacing="0"/>
        <w:rPr>
          <w:rFonts w:hint="eastAsia"/>
          <w:sz w:val="21"/>
          <w:szCs w:val="21"/>
        </w:rPr>
      </w:pPr>
      <w:r>
        <w:rPr>
          <w:rFonts w:hint="eastAsia"/>
          <w:sz w:val="21"/>
          <w:szCs w:val="21"/>
        </w:rPr>
        <w:t>2.资本成本：企业为筹集和使用资本而付出的代价。</w:t>
      </w:r>
    </w:p>
    <w:p>
      <w:pPr>
        <w:pStyle w:val="2"/>
        <w:tabs>
          <w:tab w:val="left" w:pos="840"/>
        </w:tabs>
        <w:spacing w:before="0" w:beforeAutospacing="0" w:after="0" w:afterAutospacing="0"/>
        <w:rPr>
          <w:rFonts w:hint="eastAsia"/>
          <w:sz w:val="21"/>
          <w:szCs w:val="21"/>
        </w:rPr>
      </w:pPr>
      <w:r>
        <w:rPr>
          <w:rFonts w:hint="eastAsia"/>
          <w:sz w:val="21"/>
          <w:szCs w:val="21"/>
        </w:rPr>
        <w:t>3.内涵报酬率：</w:t>
      </w:r>
      <w:bookmarkStart w:id="0" w:name="_GoBack"/>
      <w:bookmarkEnd w:id="0"/>
    </w:p>
    <w:p>
      <w:pPr>
        <w:rPr>
          <w:szCs w:val="21"/>
        </w:rPr>
      </w:pPr>
      <w:r>
        <w:rPr>
          <w:szCs w:val="21"/>
        </w:rPr>
        <w:t>4</w:t>
      </w:r>
      <w:r>
        <w:rPr>
          <w:rFonts w:hint="eastAsia"/>
          <w:szCs w:val="21"/>
        </w:rPr>
        <w:t>.股票分割：</w:t>
      </w:r>
    </w:p>
    <w:p>
      <w:pPr>
        <w:pStyle w:val="2"/>
        <w:tabs>
          <w:tab w:val="left" w:pos="840"/>
        </w:tabs>
        <w:spacing w:before="0" w:beforeAutospacing="0" w:after="0" w:afterAutospacing="0"/>
        <w:rPr>
          <w:rFonts w:hint="eastAsia"/>
          <w:b/>
          <w:sz w:val="21"/>
          <w:szCs w:val="21"/>
        </w:rPr>
      </w:pPr>
      <w:r>
        <w:rPr>
          <w:rFonts w:hint="eastAsia"/>
          <w:b/>
          <w:sz w:val="21"/>
          <w:szCs w:val="21"/>
        </w:rPr>
        <w:t>四、问答题</w:t>
      </w:r>
    </w:p>
    <w:p>
      <w:pPr>
        <w:autoSpaceDE w:val="0"/>
        <w:autoSpaceDN w:val="0"/>
        <w:adjustRightInd w:val="0"/>
        <w:snapToGrid w:val="0"/>
        <w:rPr>
          <w:rFonts w:hint="eastAsia"/>
          <w:color w:val="FF0000"/>
          <w:szCs w:val="21"/>
        </w:rPr>
      </w:pPr>
      <w:r>
        <w:rPr>
          <w:rFonts w:hint="eastAsia" w:ascii="宋体" w:hAnsi="宋体"/>
          <w:szCs w:val="21"/>
        </w:rPr>
        <w:t>1.</w:t>
      </w:r>
      <w:r>
        <w:rPr>
          <w:rFonts w:hint="eastAsia"/>
          <w:szCs w:val="21"/>
        </w:rPr>
        <w:t>答：</w:t>
      </w:r>
      <w:r>
        <w:rPr>
          <w:rFonts w:hint="eastAsia" w:ascii="宋体" w:hAnsi="宋体" w:cs="宋体"/>
          <w:color w:val="000000"/>
          <w:kern w:val="0"/>
          <w:szCs w:val="21"/>
        </w:rPr>
        <w:t>发行企业债券是企业筹集借入资金的重要方式。其优点主要有：（1）资本成本较低。（2）具有财务杠杆作用。（3）可保障控制权。债券筹资的缺点。（1）财务风险高。（2）限制条件多。（3）筹资额有限。</w:t>
      </w:r>
    </w:p>
    <w:p>
      <w:pPr>
        <w:spacing w:line="400" w:lineRule="exact"/>
        <w:rPr>
          <w:rFonts w:hint="eastAsia"/>
          <w:color w:val="FF0000"/>
          <w:szCs w:val="21"/>
        </w:rPr>
      </w:pPr>
      <w:r>
        <w:rPr>
          <w:rFonts w:hint="eastAsia" w:ascii="宋体" w:hAnsi="宋体" w:cs="宋体"/>
          <w:bCs/>
          <w:szCs w:val="21"/>
        </w:rPr>
        <w:t>2.股利政策是关于股份公司是否发放股利、发放多少股利、何时发放股利以及以何种形式发放股利等方面的方针和策略。</w:t>
      </w:r>
    </w:p>
    <w:p>
      <w:pPr>
        <w:spacing w:line="400" w:lineRule="exact"/>
        <w:rPr>
          <w:szCs w:val="21"/>
        </w:rPr>
      </w:pPr>
      <w:r>
        <w:rPr>
          <w:rFonts w:hint="eastAsia"/>
          <w:szCs w:val="21"/>
        </w:rPr>
        <w:t>然后分别从法律因素、股东因素、公司内部因素和其他因素进行论述。</w:t>
      </w:r>
    </w:p>
    <w:p>
      <w:pPr>
        <w:spacing w:line="400" w:lineRule="exact"/>
        <w:rPr>
          <w:rFonts w:hint="eastAsia" w:ascii="宋体" w:hAnsi="宋体"/>
          <w:b/>
          <w:szCs w:val="21"/>
        </w:rPr>
      </w:pPr>
      <w:r>
        <w:rPr>
          <w:rFonts w:hint="eastAsia"/>
          <w:b/>
          <w:szCs w:val="21"/>
        </w:rPr>
        <w:t>五、</w:t>
      </w:r>
      <w:r>
        <w:rPr>
          <w:rFonts w:hint="eastAsia" w:ascii="宋体" w:hAnsi="宋体"/>
          <w:b/>
          <w:szCs w:val="21"/>
        </w:rPr>
        <w:t>计算与案例分析题</w:t>
      </w:r>
    </w:p>
    <w:p>
      <w:pPr>
        <w:rPr>
          <w:rFonts w:hint="eastAsia"/>
          <w:szCs w:val="21"/>
        </w:rPr>
      </w:pPr>
      <w:r>
        <w:rPr>
          <w:rFonts w:hint="eastAsia"/>
          <w:szCs w:val="21"/>
        </w:rPr>
        <w:t>1.放弃的现金折扣成本为：甲公司24.49%、乙公司12.12%</w:t>
      </w:r>
    </w:p>
    <w:p>
      <w:pPr>
        <w:rPr>
          <w:rFonts w:hint="eastAsia"/>
          <w:szCs w:val="21"/>
        </w:rPr>
      </w:pPr>
      <w:r>
        <w:rPr>
          <w:rFonts w:hint="eastAsia"/>
          <w:szCs w:val="21"/>
        </w:rPr>
        <w:t xml:space="preserve">  银行贷款利率均比现金折扣成本低，所以应选择甲公司，并在成交后的第10天付款  </w:t>
      </w:r>
    </w:p>
    <w:p>
      <w:pPr>
        <w:rPr>
          <w:rFonts w:hint="eastAsia"/>
          <w:szCs w:val="21"/>
        </w:rPr>
      </w:pPr>
      <w:r>
        <w:rPr>
          <w:rFonts w:hint="eastAsia"/>
          <w:szCs w:val="21"/>
        </w:rPr>
        <w:t>2.</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810"/>
        <w:gridCol w:w="1064"/>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7" w:type="dxa"/>
            <w:noWrap w:val="0"/>
            <w:vAlign w:val="center"/>
          </w:tcPr>
          <w:p>
            <w:pPr>
              <w:jc w:val="center"/>
              <w:rPr>
                <w:szCs w:val="21"/>
              </w:rPr>
            </w:pPr>
            <w:r>
              <w:rPr>
                <w:rFonts w:hint="eastAsia"/>
                <w:szCs w:val="21"/>
              </w:rPr>
              <w:t>期限</w:t>
            </w:r>
          </w:p>
        </w:tc>
        <w:tc>
          <w:tcPr>
            <w:tcW w:w="810" w:type="dxa"/>
            <w:noWrap w:val="0"/>
            <w:vAlign w:val="center"/>
          </w:tcPr>
          <w:p>
            <w:pPr>
              <w:jc w:val="center"/>
              <w:rPr>
                <w:szCs w:val="21"/>
              </w:rPr>
            </w:pPr>
            <w:r>
              <w:rPr>
                <w:rFonts w:hint="eastAsia"/>
                <w:szCs w:val="21"/>
              </w:rPr>
              <w:t>0</w:t>
            </w:r>
          </w:p>
        </w:tc>
        <w:tc>
          <w:tcPr>
            <w:tcW w:w="1064" w:type="dxa"/>
            <w:noWrap w:val="0"/>
            <w:vAlign w:val="center"/>
          </w:tcPr>
          <w:p>
            <w:pPr>
              <w:jc w:val="center"/>
              <w:rPr>
                <w:szCs w:val="21"/>
              </w:rPr>
            </w:pPr>
            <w:r>
              <w:rPr>
                <w:rFonts w:hint="eastAsia"/>
                <w:szCs w:val="21"/>
              </w:rPr>
              <w:t>1-5</w:t>
            </w:r>
          </w:p>
        </w:tc>
        <w:tc>
          <w:tcPr>
            <w:tcW w:w="1064" w:type="dxa"/>
            <w:noWrap w:val="0"/>
            <w:vAlign w:val="center"/>
          </w:tcPr>
          <w:p>
            <w:pPr>
              <w:jc w:val="center"/>
              <w:rPr>
                <w:rFonts w:hint="eastAsia"/>
                <w:szCs w:val="21"/>
              </w:rPr>
            </w:pPr>
            <w:r>
              <w:rPr>
                <w:rFonts w:hint="eastAsia"/>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7" w:type="dxa"/>
            <w:noWrap w:val="0"/>
            <w:vAlign w:val="center"/>
          </w:tcPr>
          <w:p>
            <w:pPr>
              <w:jc w:val="center"/>
              <w:rPr>
                <w:szCs w:val="21"/>
              </w:rPr>
            </w:pPr>
            <w:r>
              <w:rPr>
                <w:rFonts w:hint="eastAsia"/>
                <w:szCs w:val="21"/>
              </w:rPr>
              <w:t>年现金净流量</w:t>
            </w:r>
          </w:p>
        </w:tc>
        <w:tc>
          <w:tcPr>
            <w:tcW w:w="810" w:type="dxa"/>
            <w:noWrap w:val="0"/>
            <w:vAlign w:val="center"/>
          </w:tcPr>
          <w:p>
            <w:pPr>
              <w:jc w:val="center"/>
              <w:rPr>
                <w:szCs w:val="21"/>
              </w:rPr>
            </w:pPr>
            <w:r>
              <w:rPr>
                <w:rFonts w:hint="eastAsia"/>
                <w:szCs w:val="21"/>
              </w:rPr>
              <w:t>-</w:t>
            </w:r>
            <w:r>
              <w:rPr>
                <w:szCs w:val="21"/>
              </w:rPr>
              <w:t>1</w:t>
            </w:r>
            <w:r>
              <w:rPr>
                <w:rFonts w:hint="eastAsia"/>
                <w:szCs w:val="21"/>
              </w:rPr>
              <w:t>250</w:t>
            </w:r>
          </w:p>
        </w:tc>
        <w:tc>
          <w:tcPr>
            <w:tcW w:w="1064" w:type="dxa"/>
            <w:noWrap w:val="0"/>
            <w:vAlign w:val="center"/>
          </w:tcPr>
          <w:p>
            <w:pPr>
              <w:jc w:val="center"/>
              <w:rPr>
                <w:szCs w:val="21"/>
              </w:rPr>
            </w:pPr>
            <w:r>
              <w:rPr>
                <w:szCs w:val="21"/>
              </w:rPr>
              <w:t>350</w:t>
            </w:r>
          </w:p>
        </w:tc>
        <w:tc>
          <w:tcPr>
            <w:tcW w:w="1064" w:type="dxa"/>
            <w:noWrap w:val="0"/>
            <w:vAlign w:val="center"/>
          </w:tcPr>
          <w:p>
            <w:pPr>
              <w:jc w:val="center"/>
              <w:rPr>
                <w:szCs w:val="21"/>
              </w:rPr>
            </w:pPr>
            <w:r>
              <w:rPr>
                <w:rFonts w:hint="eastAsia"/>
                <w:szCs w:val="21"/>
              </w:rPr>
              <w:t>400</w:t>
            </w:r>
          </w:p>
        </w:tc>
      </w:tr>
    </w:tbl>
    <w:p>
      <w:pPr>
        <w:rPr>
          <w:rFonts w:hint="eastAsia"/>
          <w:szCs w:val="21"/>
        </w:rPr>
      </w:pPr>
      <w:r>
        <w:rPr>
          <w:rFonts w:hint="eastAsia"/>
          <w:szCs w:val="21"/>
        </w:rPr>
        <w:t xml:space="preserve">投资回收期=3.57年   </w:t>
      </w:r>
    </w:p>
    <w:p>
      <w:pPr>
        <w:rPr>
          <w:rFonts w:hint="eastAsia"/>
          <w:szCs w:val="21"/>
        </w:rPr>
      </w:pPr>
      <w:r>
        <w:rPr>
          <w:rFonts w:hint="eastAsia"/>
          <w:szCs w:val="21"/>
        </w:rPr>
        <w:t xml:space="preserve">净现值=275.06万元  </w:t>
      </w:r>
    </w:p>
    <w:p>
      <w:pPr>
        <w:rPr>
          <w:rFonts w:ascii="等线" w:hAnsi="等线" w:eastAsia="等线"/>
          <w:szCs w:val="21"/>
        </w:rPr>
      </w:pPr>
      <w:r>
        <w:rPr>
          <w:rFonts w:hint="eastAsia"/>
          <w:szCs w:val="21"/>
        </w:rPr>
        <w:t>内部收益率=17</w:t>
      </w:r>
      <w:r>
        <w:rPr>
          <w:szCs w:val="21"/>
        </w:rPr>
        <w:t>.</w:t>
      </w:r>
      <w:r>
        <w:rPr>
          <w:rFonts w:hint="eastAsia"/>
          <w:szCs w:val="21"/>
        </w:rPr>
        <w:t xml:space="preserve">77%  </w:t>
      </w:r>
    </w:p>
    <w:p>
      <w:pPr>
        <w:spacing w:line="400" w:lineRule="exact"/>
        <w:rPr>
          <w:rFonts w:hint="eastAsia"/>
          <w:szCs w:val="21"/>
        </w:rPr>
      </w:pPr>
    </w:p>
    <w:p>
      <w:pPr>
        <w:rPr>
          <w:rFonts w:ascii="宋体" w:hAnsi="宋体"/>
        </w:rPr>
      </w:pPr>
    </w:p>
    <w:p>
      <w:pPr>
        <w:rPr>
          <w:rFonts w:ascii="宋体" w:hAnsi="宋体"/>
        </w:rPr>
      </w:pPr>
    </w:p>
    <w:p>
      <w:pPr>
        <w:rPr>
          <w:rFonts w:ascii="宋体" w:hAnsi="宋体"/>
        </w:rPr>
      </w:pPr>
    </w:p>
    <w:p>
      <w:pPr>
        <w:rPr>
          <w:rFonts w:asciiTheme="minorEastAsia" w:hAnsiTheme="minorEastAsia" w:eastAsiaTheme="minorEastAsia"/>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ascii="Calibri" w:hAnsi="Calibri" w:eastAsia="宋体" w:cs="Times New Roman"/>
      </w:rPr>
      <w:t xml:space="preserve">第 </w:t>
    </w:r>
    <w:r>
      <w:rPr>
        <w:rFonts w:hint="eastAsia"/>
      </w:rPr>
      <w:t>6</w:t>
    </w:r>
    <w:r>
      <w:rPr>
        <w:rFonts w:hint="eastAsia" w:ascii="Calibri" w:hAnsi="Calibri" w:eastAsia="宋体" w:cs="Times New Roman"/>
      </w:rPr>
      <w:t xml:space="preserve">  页（共 </w:t>
    </w:r>
    <w:r>
      <w:rPr>
        <w:rFonts w:hint="eastAsia"/>
      </w:rPr>
      <w:t>1</w:t>
    </w:r>
    <w:r>
      <w:rPr>
        <w:rFonts w:hint="eastAsia" w:ascii="Calibri" w:hAnsi="Calibri" w:eastAsia="宋体" w:cs="Times New Roman"/>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ascii="Calibri" w:hAnsi="Calibri" w:eastAsia="宋体" w:cs="Times New Roman"/>
      </w:rPr>
      <w:t>浙江工商大学继续教育学院考试试卷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8C639D"/>
    <w:rsid w:val="000A7808"/>
    <w:rsid w:val="000B26DA"/>
    <w:rsid w:val="00103AC2"/>
    <w:rsid w:val="0020227E"/>
    <w:rsid w:val="002B0E4A"/>
    <w:rsid w:val="00353338"/>
    <w:rsid w:val="00360E32"/>
    <w:rsid w:val="004F6C07"/>
    <w:rsid w:val="00547F0B"/>
    <w:rsid w:val="00563631"/>
    <w:rsid w:val="005C3CB4"/>
    <w:rsid w:val="005E246D"/>
    <w:rsid w:val="005F52BA"/>
    <w:rsid w:val="00732440"/>
    <w:rsid w:val="00760B91"/>
    <w:rsid w:val="007F0EA8"/>
    <w:rsid w:val="00854D79"/>
    <w:rsid w:val="008C0DDD"/>
    <w:rsid w:val="008C639D"/>
    <w:rsid w:val="0092350E"/>
    <w:rsid w:val="0097486F"/>
    <w:rsid w:val="009C17E6"/>
    <w:rsid w:val="00AD13DB"/>
    <w:rsid w:val="00B42737"/>
    <w:rsid w:val="00BB7DD5"/>
    <w:rsid w:val="00C07F5C"/>
    <w:rsid w:val="00DB3656"/>
    <w:rsid w:val="00E21032"/>
    <w:rsid w:val="00EF2C98"/>
    <w:rsid w:val="00FA4344"/>
    <w:rsid w:val="00FC5060"/>
    <w:rsid w:val="00FD595E"/>
    <w:rsid w:val="03125B78"/>
    <w:rsid w:val="099C43EE"/>
    <w:rsid w:val="0FEE34C9"/>
    <w:rsid w:val="181737E4"/>
    <w:rsid w:val="188E75F7"/>
    <w:rsid w:val="1A954C6D"/>
    <w:rsid w:val="226D4721"/>
    <w:rsid w:val="287776D3"/>
    <w:rsid w:val="2ADB491E"/>
    <w:rsid w:val="2E662F0E"/>
    <w:rsid w:val="3B6444BC"/>
    <w:rsid w:val="3BA96372"/>
    <w:rsid w:val="3BB54FCB"/>
    <w:rsid w:val="3EB72B54"/>
    <w:rsid w:val="3F2A1578"/>
    <w:rsid w:val="4993038A"/>
    <w:rsid w:val="49E52C6C"/>
    <w:rsid w:val="5080765E"/>
    <w:rsid w:val="53AA312C"/>
    <w:rsid w:val="5C60385F"/>
    <w:rsid w:val="65A25C72"/>
    <w:rsid w:val="6D934EBA"/>
    <w:rsid w:val="6E187226"/>
    <w:rsid w:val="6E2C05BA"/>
    <w:rsid w:val="6F92269E"/>
    <w:rsid w:val="77004661"/>
    <w:rsid w:val="79407E76"/>
    <w:rsid w:val="79B56FC3"/>
    <w:rsid w:val="7C3016B3"/>
    <w:rsid w:val="7CAE7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qFormat/>
    <w:uiPriority w:val="0"/>
    <w:pPr>
      <w:widowControl/>
      <w:spacing w:before="100" w:beforeAutospacing="1" w:after="100" w:afterAutospacing="1"/>
      <w:jc w:val="left"/>
    </w:pPr>
    <w:rPr>
      <w:rFonts w:ascii="宋体" w:hAnsi="宋体"/>
      <w:kern w:val="0"/>
      <w:sz w:val="24"/>
    </w:r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正文文本 Char"/>
    <w:basedOn w:val="6"/>
    <w:link w:val="2"/>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2028</Words>
  <Characters>2183</Characters>
  <Lines>16</Lines>
  <Paragraphs>4</Paragraphs>
  <TotalTime>5</TotalTime>
  <ScaleCrop>false</ScaleCrop>
  <LinksUpToDate>false</LinksUpToDate>
  <CharactersWithSpaces>2346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2020-11-09T03:07:00Z</dcterms:created>
  <dc:creator>zse</dc:creator>
  <cp:lastModifiedBy>Administrator</cp:lastModifiedBy>
  <dcterms:modified xsi:type="dcterms:W3CDTF">2022-12-11T07:10:55Z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6C9E116A230F4034A90D9587CF44D2A0</vt:lpwstr>
  </property>
</Properties>
</file>