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财务管理复习资料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</w:t>
      </w:r>
      <w:r>
        <w:rPr>
          <w:rFonts w:hint="eastAsia" w:ascii="宋体" w:hAnsi="宋体" w:eastAsia="宋体" w:cs="宋体"/>
          <w:b/>
          <w:sz w:val="21"/>
          <w:szCs w:val="21"/>
        </w:rPr>
        <w:t>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 xml:space="preserve">资金市场按交易性质可分为(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A.一级市场与二级市场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B.货币市场与资本市场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C.证券市场与借贷市场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D.资金市场、外汇市场与黄金市场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2.按照行驶里程计算固定资产折旧额，每行驶里程的折旧额是(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A.递增的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B.递减的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C.相同的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D.不相同的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3.无形资产的转让包括所有权转让和使用权转让两种方式，无论哪种转让方式取得的收入，均计入企业的(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A.产品销售收入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B.其他销售收入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C.营业外收入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D.投资净收益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4.固定资产的经济折旧年限同物理折旧年限相比(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A.前者长          B.前者短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C.两者一样        D.无法计量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5.短期投资的目的是(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A.将资金投于其他企业以谋求经营性收益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B.将资金分散运用以防范风险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C.利用控股方式实现企业扩张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D.利用生产经营暂时闲置资金谋求收益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6.按对外投资形式的产权关系不同，对外投资可以分为(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A.实物投资和证券投资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B.股权投资和债权投资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C.直接投资和间接投资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D.短期投资和长期投资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7.企业生产产品所耗费的社会必要劳动量，其货币表现是(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A.企业生产费用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B.企业成本费用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C.社会生产费用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D.社会保障费用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8.商品流通企业的经营成本，一般是指(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A.商品的进价成本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B.商品的进价成本加流通费用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C.商品的进价成本加管理费用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D.商品的进价成本加经营费用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9.企业工资费用的控制，通常采用相互联系的两个指标，它们是(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A.工资总额与劳动定额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B.工资总额与编制定员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C.工资总额与效益挂钩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D.工资总额与平均工资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10.企业当年无利润时，经股东会特别决议，可用盈余公积金分配股利，但分配数额不能超过股票值的( 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A.5%            B.6%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C.8%               D.10%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二. 解释题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1、投资风险价值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2、最佳资本结构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3、内含报酬率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、简述财务管理的成本效益原则。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2、简述流动资产的组成。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、简述固定资产保管使用责任制的“三定一折”管理方法。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、简述企业目标成本及其制定方法。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 试论述企业用权益融资与债务融资的利弊。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、试述股份制企业的股利分配政策及其特点。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试述财务杠杆原理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五、计算题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某企业现有资金100000元可以用于以下投资方案：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方案A：购入国库券（五年期，年利率14%，不计复利，到期一次支付本息）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方案B：购买新设备（使用期5年，预计残值收入为设备总额的10%，按直线计提折旧，设备交付使用后每年可以实现12000元的税前利润）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该企业的资金成本率为10%，适用所得税率为30%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要求：（1）计算投资方案A的净现值；（2）计算投资方案B的各年现金流量及净现值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210" w:firstLineChars="1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（P/F,10%。5）=0.621, （P/F,14%。5）=0.519, （F/P,10%。5）=1.611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（F/P,14%。5）=1.925,(P/A,10%。5）=3.791, （F/A,10%。5）=6.105</w:t>
      </w:r>
    </w:p>
    <w:p>
      <w:pPr>
        <w:keepNext w:val="0"/>
        <w:keepLines w:val="0"/>
        <w:pageBreakBefore w:val="0"/>
        <w:tabs>
          <w:tab w:val="left" w:pos="3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财务管</w:t>
      </w:r>
      <w:bookmarkStart w:id="0" w:name="_GoBack"/>
      <w:bookmarkEnd w:id="0"/>
      <w:r>
        <w:rPr>
          <w:rFonts w:hint="eastAsia" w:ascii="宋体" w:hAnsi="宋体" w:cs="宋体"/>
          <w:b/>
          <w:bCs/>
          <w:sz w:val="21"/>
          <w:szCs w:val="21"/>
          <w:lang w:eastAsia="zh-CN"/>
        </w:rPr>
        <w:t>理复习资料参考资料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一、单项选择题</w:t>
      </w:r>
    </w:p>
    <w:p>
      <w:pPr>
        <w:pStyle w:val="2"/>
        <w:spacing w:line="300" w:lineRule="auto"/>
        <w:rPr>
          <w:rFonts w:hint="eastAsia" w:hAnsi="宋体"/>
        </w:rPr>
      </w:pPr>
      <w:r>
        <w:rPr>
          <w:rFonts w:hint="eastAsia" w:hAnsi="宋体"/>
        </w:rPr>
        <w:t xml:space="preserve">1-10 CCBBD BDADB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二、名词解释题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1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2 指企业在一定时期使其综合资金成本最低，同时企业价值最大的资本结构。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3. 又称内部报酬率或内在收益率,它是能使一项投资方案的净现值等于零的投资报酬率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四、简答题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、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 xml:space="preserve">、答：流动资产在企业的再生产过程中以各种不同的形态同时存在，这些不同的存在形态就是流动资产的组成内容。具体项目包括：(1)货币资金：包括库存现金和存入银行的各种存款。(2)应收及预付款项：如应收票据、应收账款、待摊费用等。(3)存货：包括原材料、燃料、包装物、低值易耗品、修理用备件、在产品、自制半成品、产成品、外购商品等。(4)短期投资：指各种能随时变现、持有时间不超过一年的有价证券以及其他投资，如各种短期债券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、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4</w:t>
      </w:r>
      <w:r>
        <w:rPr>
          <w:rFonts w:hint="eastAsia" w:hAnsi="宋体"/>
          <w:szCs w:val="21"/>
        </w:rPr>
        <w:t xml:space="preserve">、答：目标成本是事先确定要在一定时期内实现的成本，它是成本 管理工作的奋斗目标。制定目标成本，通常有以下几种方法：(1)倒挤法。先确定目标利润，然后从预测销售收入中减去应纳税金、期间费用和目标利润，进而确定目标成本。(2)选择法，选择某一先进成本或本企业历史上最好成本水平作为目标成本。(3)调整法，以上年实际平均单位成本为基础，结合计划年度情况进行适分调整，进而确定目标成本。  </w:t>
      </w:r>
    </w:p>
    <w:p>
      <w:pPr>
        <w:rPr>
          <w:rFonts w:hint="eastAsia" w:hAnsi="宋体"/>
          <w:szCs w:val="21"/>
          <w:lang w:val="en-US" w:eastAsia="zh-CN"/>
        </w:rPr>
      </w:pPr>
      <w:r>
        <w:rPr>
          <w:rFonts w:hint="eastAsia" w:hAnsi="宋体"/>
          <w:szCs w:val="21"/>
          <w:lang w:val="en-US" w:eastAsia="zh-CN"/>
        </w:rPr>
        <w:t>四、论述题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、答：(1)权益融资是企业筹集的所有者权益，有吸收直接投资、发行股票、联营、企业内部积累等方式。 债务融是企业向银行等债权人吸收的资金，有银行借款、发行债券、融资租赁、商业信用等方式。  (2)权益融资的利弊：利：增强企业信誉，降低财务风险，筹资数量大</w:t>
      </w:r>
      <w:r>
        <w:rPr>
          <w:rFonts w:hint="eastAsia" w:ascii="宋体" w:hAnsi="宋体" w:cs="宋体"/>
          <w:szCs w:val="21"/>
        </w:rPr>
        <w:t>弊：资金成本高，会分散企业控制权。</w:t>
      </w:r>
      <w:r>
        <w:rPr>
          <w:rFonts w:hint="eastAsia" w:hAnsi="宋体"/>
          <w:szCs w:val="21"/>
        </w:rPr>
        <w:t xml:space="preserve"> (3)负债融资的利弊：利：资金成本较低，财务杠杆作用，保证控制权 弊：企业有财务风险，筹资数额受限制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>、答：股利分配政策是有关企业发展和股利分配的一项重要方针和策略，其核心是正确处理公司与投资者之间、当前利益与长远利益之间产关系。常用的股利分配政策有：(1)剩余股利政策，即将企业的税后可分配利润首先用作内部融资，剩余部分用于向股东分配股利。(2)稳定的股利政策，即支付给股东的股利总是维持在一定水平上，不随盈利的增减变化而变化。(3)变动的股利政策。即企业支付给股东的股利随盈利额的变动而变动。(4)正常股利加额外股利的股利政策。企业一般每年按固定数额向股东支付正常股利，遇到盈利大幅增长时，再增加支付一部分额外股利。</w:t>
      </w:r>
    </w:p>
    <w:p>
      <w:pPr>
        <w:rPr>
          <w:rFonts w:ascii="宋体" w:hAnsi="宋体" w:cs="宋体"/>
          <w:kern w:val="0"/>
          <w:sz w:val="24"/>
        </w:rPr>
      </w:pPr>
      <w:r>
        <w:rPr>
          <w:rFonts w:hint="eastAsia" w:hAnsi="宋体"/>
          <w:szCs w:val="21"/>
          <w:lang w:val="en-US" w:eastAsia="zh-CN"/>
        </w:rPr>
        <w:t>3</w:t>
      </w:r>
      <w:r>
        <w:t xml:space="preserve"> </w:t>
      </w:r>
    </w:p>
    <w:p>
      <w:pPr>
        <w:rPr>
          <w:rFonts w:hint="eastAsia" w:ascii="宋体" w:hAnsi="宋体" w:cs="宋体"/>
          <w:sz w:val="20"/>
          <w:szCs w:val="20"/>
        </w:rPr>
      </w:pPr>
    </w:p>
    <w:p>
      <w:pPr>
        <w:numPr>
          <w:ilvl w:val="0"/>
          <w:numId w:val="1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计算题</w:t>
      </w:r>
    </w:p>
    <w:p>
      <w:pPr>
        <w:spacing w:line="400" w:lineRule="exact"/>
        <w:rPr>
          <w:rFonts w:hint="eastAsia"/>
          <w:szCs w:val="21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(1).</w:t>
      </w:r>
      <w:r>
        <w:rPr>
          <w:rFonts w:hint="eastAsia"/>
          <w:szCs w:val="21"/>
        </w:rPr>
        <w:t xml:space="preserve"> 普通股成本=7%+1.5×(13%-7%)=16%</w:t>
      </w:r>
    </w:p>
    <w:p>
      <w:pPr>
        <w:spacing w:line="400" w:lineRule="exact"/>
        <w:ind w:left="780"/>
        <w:rPr>
          <w:rFonts w:hint="eastAsia"/>
          <w:szCs w:val="21"/>
        </w:rPr>
      </w:pPr>
      <w:r>
        <w:rPr>
          <w:rFonts w:hint="eastAsia"/>
          <w:szCs w:val="21"/>
        </w:rPr>
        <w:t>加权平均资金成本=(400/1000)×10%×(1-30%)+(600/1000)×16%=12.4%</w:t>
      </w:r>
    </w:p>
    <w:p>
      <w:pPr>
        <w:spacing w:line="400" w:lineRule="exact"/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(2)假设每股收益无差别点为EBIT</w:t>
      </w:r>
    </w:p>
    <w:p>
      <w:pPr>
        <w:spacing w:line="400" w:lineRule="exact"/>
        <w:ind w:left="420"/>
        <w:rPr>
          <w:rFonts w:hint="eastAsia"/>
          <w:szCs w:val="21"/>
        </w:rPr>
      </w:pPr>
      <w:r>
        <w:rPr>
          <w:rFonts w:hint="eastAsia"/>
          <w:szCs w:val="21"/>
        </w:rPr>
        <w:t>则:  (EBIT-400×10%-500×12%)×(1-30%)   =   (EBIT-400×10%)×(1-30%)</w:t>
      </w:r>
    </w:p>
    <w:p>
      <w:pPr>
        <w:spacing w:line="400" w:lineRule="exact"/>
        <w:ind w:firstLine="1590"/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22860</wp:posOffset>
                </wp:positionV>
                <wp:extent cx="18288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1.8pt;height:0pt;width:144pt;z-index:251660288;mso-width-relative:page;mso-height-relative:page;" filled="f" stroked="t" coordsize="21600,21600" o:gfxdata="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R0uaHUAAAABwEAAA8AAAAAAAAAAQAgAAAAIgAAAGRycy9kb3ducmV2LnhtbFBLAQIUABQA&#10;AAAIAIdO4kC9hKM59AEAAOQDAAAOAAAAAAAAAAEAIAAAACM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2057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0pt;height:0pt;width:162pt;z-index:251659264;mso-width-relative:page;mso-height-relative:page;" filled="f" stroked="t" coordsize="21600,21600" o:gfxdata="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kScVXTAAAABAEAAA8AAAAAAAAAAQAgAAAAIgAAAGRycy9kb3ducmV2LnhtbFBLAQIUABQA&#10;AAAIAIdO4kA2st939QEAAOQ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600/10                                  (600/10+500/10)</w:t>
      </w:r>
    </w:p>
    <w:p>
      <w:pPr>
        <w:spacing w:line="400" w:lineRule="exact"/>
        <w:ind w:firstLine="1590"/>
        <w:rPr>
          <w:rFonts w:hint="eastAsia"/>
        </w:rPr>
      </w:pPr>
      <w:r>
        <w:rPr>
          <w:rFonts w:hint="eastAsia"/>
        </w:rPr>
        <w:t>EBIT=172万</w:t>
      </w:r>
    </w:p>
    <w:p>
      <w:pPr>
        <w:spacing w:line="400" w:lineRule="exact"/>
        <w:ind w:firstLine="750"/>
        <w:rPr>
          <w:rFonts w:hint="eastAsia"/>
        </w:rPr>
      </w:pPr>
      <w:r>
        <w:rPr>
          <w:rFonts w:hint="eastAsia"/>
        </w:rPr>
        <w:t>公司息税前利润为240万元大于172万元,应发行债券.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A3FD4D"/>
    <w:multiLevelType w:val="singleLevel"/>
    <w:tmpl w:val="19A3FD4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E24EC"/>
    <w:rsid w:val="161B44FF"/>
    <w:rsid w:val="17B703DA"/>
    <w:rsid w:val="19B85D2B"/>
    <w:rsid w:val="255833B3"/>
    <w:rsid w:val="4190052C"/>
    <w:rsid w:val="48914396"/>
    <w:rsid w:val="691E24EC"/>
    <w:rsid w:val="72CB2558"/>
    <w:rsid w:val="7A92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2021-10-21T07:52:00Z</dcterms:created>
  <dc:creator>H姐姐</dc:creator>
  <cp:lastModifiedBy>H姐姐</cp:lastModifiedBy>
  <dcterms:modified xsi:type="dcterms:W3CDTF">2021-11-25T08:12:04Z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4A0DBACD84304FA98E294352F3EA80A4</vt:lpwstr>
  </property>
</Properties>
</file>