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b/>
          <w:bCs/>
          <w:sz w:val="30"/>
          <w:szCs w:val="30"/>
          <w:lang w:val="en-US" w:eastAsia="zh-CN"/>
        </w:rPr>
      </w:pPr>
      <w:r>
        <w:rPr>
          <w:rFonts w:hint="eastAsia"/>
          <w:b/>
          <w:bCs/>
          <w:sz w:val="30"/>
          <w:szCs w:val="30"/>
          <w:lang w:val="en-US" w:eastAsia="zh-CN"/>
        </w:rPr>
        <w:t>财务管理学复习资料</w:t>
      </w:r>
    </w:p>
    <w:p>
      <w:pPr>
        <w:autoSpaceDE w:val="0"/>
        <w:autoSpaceDN w:val="0"/>
        <w:adjustRightInd w:val="0"/>
        <w:ind w:left="120"/>
        <w:jc w:val="left"/>
        <w:rPr>
          <w:rFonts w:hint="eastAsia"/>
          <w:b/>
          <w:kern w:val="0"/>
        </w:rPr>
      </w:pPr>
      <w:r>
        <w:rPr>
          <w:rFonts w:hint="eastAsia"/>
          <w:b/>
          <w:kern w:val="0"/>
        </w:rPr>
        <w:t xml:space="preserve">一、填空题 </w:t>
      </w:r>
    </w:p>
    <w:p>
      <w:pPr>
        <w:ind w:firstLine="187" w:firstLineChars="98"/>
        <w:rPr>
          <w:rFonts w:hint="eastAsia" w:ascii="宋体" w:hAnsi="宋体"/>
        </w:rPr>
      </w:pPr>
      <w:r>
        <w:rPr>
          <w:rFonts w:hint="eastAsia" w:ascii="宋体" w:hAnsi="宋体"/>
        </w:rPr>
        <w:t xml:space="preserve">1、狭义的财务管理内容主要包括 </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和</w:t>
      </w:r>
      <w:r>
        <w:rPr>
          <w:rFonts w:hint="eastAsia" w:ascii="宋体" w:hAnsi="宋体"/>
          <w:u w:val="single"/>
        </w:rPr>
        <w:t xml:space="preserve">               </w:t>
      </w:r>
      <w:r>
        <w:rPr>
          <w:rFonts w:hint="eastAsia" w:ascii="宋体" w:hAnsi="宋体"/>
        </w:rPr>
        <w:t>。</w:t>
      </w:r>
    </w:p>
    <w:p>
      <w:pPr>
        <w:ind w:firstLine="187" w:firstLineChars="98"/>
        <w:rPr>
          <w:rFonts w:hint="eastAsia" w:ascii="宋体" w:hAnsi="宋体"/>
        </w:rPr>
      </w:pPr>
      <w:r>
        <w:rPr>
          <w:rFonts w:hint="eastAsia" w:ascii="宋体" w:hAnsi="宋体"/>
        </w:rPr>
        <w:t>2、财务管理的基本原则主要包括</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等。</w:t>
      </w:r>
    </w:p>
    <w:p>
      <w:pPr>
        <w:ind w:firstLine="187" w:firstLineChars="98"/>
        <w:rPr>
          <w:rFonts w:hint="eastAsia" w:ascii="宋体" w:hAnsi="宋体"/>
        </w:rPr>
      </w:pPr>
      <w:r>
        <w:rPr>
          <w:rFonts w:hint="eastAsia" w:ascii="宋体" w:hAnsi="宋体"/>
        </w:rPr>
        <w:t>3、资金结构的决策方法主要有</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w:t>
      </w:r>
    </w:p>
    <w:p>
      <w:pPr>
        <w:rPr>
          <w:rFonts w:hint="eastAsia"/>
        </w:rPr>
      </w:pPr>
    </w:p>
    <w:p>
      <w:pPr>
        <w:rPr>
          <w:rFonts w:hint="eastAsia" w:ascii="宋体" w:hAnsi="宋体"/>
        </w:rPr>
      </w:pPr>
      <w:r>
        <w:rPr>
          <w:rFonts w:hint="eastAsia"/>
          <w:b/>
          <w:kern w:val="0"/>
        </w:rPr>
        <w:t>二、</w:t>
      </w:r>
      <w:r>
        <w:rPr>
          <w:rFonts w:hint="eastAsia" w:ascii="宋体" w:hAnsi="宋体"/>
          <w:b/>
          <w:kern w:val="0"/>
        </w:rPr>
        <w:t>单项选择题：</w:t>
      </w:r>
    </w:p>
    <w:p>
      <w:pPr>
        <w:ind w:firstLine="480"/>
        <w:rPr>
          <w:rFonts w:hint="eastAsia" w:ascii="宋体" w:hAnsi="宋体"/>
        </w:rPr>
      </w:pPr>
      <w:r>
        <w:rPr>
          <w:rFonts w:hint="eastAsia" w:ascii="宋体" w:hAnsi="宋体"/>
        </w:rPr>
        <w:t>1．“企业价值最大化”财务管理目标强调的是企业的（       ）。</w:t>
      </w:r>
    </w:p>
    <w:p>
      <w:pPr>
        <w:ind w:firstLine="575" w:firstLineChars="301"/>
        <w:rPr>
          <w:rFonts w:hint="eastAsia" w:ascii="宋体" w:hAnsi="宋体"/>
        </w:rPr>
      </w:pPr>
      <w:r>
        <w:rPr>
          <w:rFonts w:hint="eastAsia" w:ascii="宋体" w:hAnsi="宋体"/>
        </w:rPr>
        <w:t>A. 生产能力                     B.实际利润率</w:t>
      </w:r>
    </w:p>
    <w:p>
      <w:pPr>
        <w:ind w:firstLine="480"/>
        <w:rPr>
          <w:rFonts w:hint="eastAsia" w:ascii="宋体" w:hAnsi="宋体"/>
        </w:rPr>
      </w:pPr>
      <w:r>
        <w:rPr>
          <w:rFonts w:hint="eastAsia" w:ascii="宋体" w:hAnsi="宋体"/>
        </w:rPr>
        <w:t xml:space="preserve"> C.实际利润额                    D. 潜在或预期获得能力</w:t>
      </w:r>
    </w:p>
    <w:p>
      <w:pPr>
        <w:ind w:firstLine="432"/>
        <w:rPr>
          <w:rFonts w:hint="eastAsia" w:ascii="宋体" w:hAnsi="宋体"/>
        </w:rPr>
      </w:pPr>
      <w:r>
        <w:rPr>
          <w:rFonts w:hint="eastAsia" w:ascii="宋体" w:hAnsi="宋体"/>
        </w:rPr>
        <w:t>2．在资金市场上，不构成投资者们要求获得的投资报酬率内容的是(       )。</w:t>
      </w:r>
    </w:p>
    <w:p>
      <w:pPr>
        <w:ind w:firstLine="432"/>
        <w:rPr>
          <w:rFonts w:hint="eastAsia" w:ascii="宋体" w:hAnsi="宋体"/>
        </w:rPr>
      </w:pPr>
      <w:r>
        <w:rPr>
          <w:rFonts w:hint="eastAsia" w:ascii="宋体" w:hAnsi="宋体"/>
        </w:rPr>
        <w:t>A.资金成本率                        B.资金时间价值</w:t>
      </w:r>
    </w:p>
    <w:p>
      <w:pPr>
        <w:ind w:firstLine="432"/>
        <w:rPr>
          <w:rFonts w:hint="eastAsia" w:ascii="宋体" w:hAnsi="宋体"/>
        </w:rPr>
      </w:pPr>
      <w:r>
        <w:rPr>
          <w:rFonts w:hint="eastAsia" w:ascii="宋体" w:hAnsi="宋体"/>
        </w:rPr>
        <w:t>C.风险报酬率                        D.通货膨胀贴补率</w:t>
      </w:r>
    </w:p>
    <w:p>
      <w:pPr>
        <w:ind w:firstLine="432"/>
        <w:rPr>
          <w:rFonts w:hint="eastAsia" w:ascii="宋体" w:hAnsi="宋体"/>
        </w:rPr>
      </w:pPr>
      <w:r>
        <w:rPr>
          <w:rFonts w:hint="eastAsia" w:ascii="宋体" w:hAnsi="宋体"/>
        </w:rPr>
        <w:t>3. 甲方案的标准离差是1.52，乙方案的标准离差是1.26，如甲、乙两方案的期望值不同，则两方案的风险关系为（        ）。</w:t>
      </w:r>
    </w:p>
    <w:p>
      <w:pPr>
        <w:ind w:firstLine="432"/>
        <w:rPr>
          <w:rFonts w:hint="eastAsia" w:ascii="宋体" w:hAnsi="宋体"/>
        </w:rPr>
      </w:pPr>
      <w:r>
        <w:rPr>
          <w:rFonts w:hint="eastAsia" w:ascii="宋体" w:hAnsi="宋体"/>
        </w:rPr>
        <w:t>A.甲大于乙                           B. 无法确定</w:t>
      </w:r>
    </w:p>
    <w:p>
      <w:pPr>
        <w:ind w:firstLine="432"/>
        <w:rPr>
          <w:rFonts w:hint="eastAsia" w:ascii="宋体" w:hAnsi="宋体"/>
        </w:rPr>
      </w:pPr>
      <w:r>
        <w:rPr>
          <w:rFonts w:hint="eastAsia" w:ascii="宋体" w:hAnsi="宋体"/>
        </w:rPr>
        <w:t>C.甲乙相等                           D. 甲小于乙</w:t>
      </w:r>
    </w:p>
    <w:p>
      <w:pPr>
        <w:rPr>
          <w:rFonts w:hint="eastAsia"/>
        </w:rPr>
      </w:pPr>
    </w:p>
    <w:p>
      <w:pPr>
        <w:autoSpaceDE w:val="0"/>
        <w:autoSpaceDN w:val="0"/>
        <w:adjustRightInd w:val="0"/>
        <w:jc w:val="left"/>
        <w:rPr>
          <w:rFonts w:hint="eastAsia"/>
          <w:b/>
          <w:kern w:val="0"/>
        </w:rPr>
      </w:pPr>
      <w:r>
        <w:rPr>
          <w:rFonts w:hint="eastAsia"/>
          <w:b/>
          <w:kern w:val="0"/>
        </w:rPr>
        <w:t>三、多项选择题</w:t>
      </w:r>
    </w:p>
    <w:p>
      <w:pPr>
        <w:autoSpaceDE w:val="0"/>
        <w:autoSpaceDN w:val="0"/>
        <w:adjustRightInd w:val="0"/>
        <w:ind w:left="600"/>
        <w:jc w:val="left"/>
        <w:rPr>
          <w:rFonts w:hint="eastAsia"/>
          <w:kern w:val="0"/>
        </w:rPr>
      </w:pPr>
      <w:r>
        <w:rPr>
          <w:rFonts w:hint="eastAsia"/>
          <w:kern w:val="0"/>
        </w:rPr>
        <w:t>1．普通股股东的权利主要有：（             ）。</w:t>
      </w:r>
    </w:p>
    <w:p>
      <w:pPr>
        <w:autoSpaceDE w:val="0"/>
        <w:autoSpaceDN w:val="0"/>
        <w:adjustRightInd w:val="0"/>
        <w:ind w:left="600"/>
        <w:jc w:val="left"/>
        <w:rPr>
          <w:rFonts w:hint="eastAsia"/>
          <w:kern w:val="0"/>
        </w:rPr>
      </w:pPr>
      <w:r>
        <w:rPr>
          <w:rFonts w:hint="eastAsia"/>
          <w:kern w:val="0"/>
        </w:rPr>
        <w:tab/>
      </w:r>
      <w:r>
        <w:rPr>
          <w:rFonts w:hint="eastAsia"/>
          <w:kern w:val="0"/>
        </w:rPr>
        <w:t>A．对公司的管理权</w:t>
      </w:r>
      <w:r>
        <w:rPr>
          <w:rFonts w:hint="eastAsia"/>
          <w:kern w:val="0"/>
        </w:rPr>
        <w:tab/>
      </w:r>
      <w:r>
        <w:rPr>
          <w:rFonts w:hint="eastAsia"/>
          <w:kern w:val="0"/>
        </w:rPr>
        <w:tab/>
      </w:r>
      <w:r>
        <w:rPr>
          <w:rFonts w:hint="eastAsia"/>
          <w:kern w:val="0"/>
        </w:rPr>
        <w:tab/>
      </w:r>
      <w:r>
        <w:rPr>
          <w:rFonts w:hint="eastAsia"/>
          <w:kern w:val="0"/>
        </w:rPr>
        <w:t>B．优先购股权</w:t>
      </w:r>
    </w:p>
    <w:p>
      <w:pPr>
        <w:autoSpaceDE w:val="0"/>
        <w:autoSpaceDN w:val="0"/>
        <w:adjustRightInd w:val="0"/>
        <w:ind w:left="600"/>
        <w:jc w:val="left"/>
        <w:rPr>
          <w:rFonts w:hint="eastAsia"/>
          <w:kern w:val="0"/>
        </w:rPr>
      </w:pPr>
      <w:r>
        <w:rPr>
          <w:rFonts w:hint="eastAsia"/>
          <w:kern w:val="0"/>
        </w:rPr>
        <w:tab/>
      </w:r>
      <w:r>
        <w:rPr>
          <w:rFonts w:hint="eastAsia"/>
          <w:kern w:val="0"/>
        </w:rPr>
        <w:t>C．股利的优先分配权</w:t>
      </w:r>
      <w:r>
        <w:rPr>
          <w:rFonts w:hint="eastAsia"/>
          <w:kern w:val="0"/>
        </w:rPr>
        <w:tab/>
      </w:r>
      <w:r>
        <w:rPr>
          <w:rFonts w:hint="eastAsia"/>
          <w:kern w:val="0"/>
        </w:rPr>
        <w:tab/>
      </w:r>
      <w:r>
        <w:rPr>
          <w:kern w:val="0"/>
        </w:rPr>
        <w:tab/>
      </w:r>
      <w:r>
        <w:rPr>
          <w:rFonts w:hint="eastAsia"/>
          <w:kern w:val="0"/>
        </w:rPr>
        <w:t>D．剩余财产的优先清偿权</w:t>
      </w:r>
    </w:p>
    <w:p>
      <w:pPr>
        <w:autoSpaceDE w:val="0"/>
        <w:autoSpaceDN w:val="0"/>
        <w:adjustRightInd w:val="0"/>
        <w:ind w:left="600"/>
        <w:jc w:val="left"/>
        <w:rPr>
          <w:rFonts w:hint="eastAsia"/>
          <w:kern w:val="0"/>
        </w:rPr>
      </w:pPr>
      <w:r>
        <w:rPr>
          <w:rFonts w:hint="eastAsia"/>
          <w:kern w:val="0"/>
        </w:rPr>
        <w:t xml:space="preserve">  E．股票转让权</w:t>
      </w:r>
    </w:p>
    <w:p>
      <w:pPr>
        <w:autoSpaceDE w:val="0"/>
        <w:autoSpaceDN w:val="0"/>
        <w:adjustRightInd w:val="0"/>
        <w:ind w:left="600"/>
        <w:jc w:val="left"/>
        <w:rPr>
          <w:rFonts w:hint="eastAsia"/>
          <w:kern w:val="0"/>
        </w:rPr>
      </w:pPr>
      <w:r>
        <w:rPr>
          <w:rFonts w:hint="eastAsia"/>
          <w:kern w:val="0"/>
        </w:rPr>
        <w:t>2．在对投资项目进行现金流量分析时，每年营业现金净流量可按下列公式计算确定（               ）。</w:t>
      </w:r>
    </w:p>
    <w:p>
      <w:pPr>
        <w:autoSpaceDE w:val="0"/>
        <w:autoSpaceDN w:val="0"/>
        <w:adjustRightInd w:val="0"/>
        <w:ind w:left="600"/>
        <w:jc w:val="left"/>
        <w:rPr>
          <w:rFonts w:hint="eastAsia"/>
          <w:kern w:val="0"/>
        </w:rPr>
      </w:pPr>
      <w:r>
        <w:rPr>
          <w:rFonts w:hint="eastAsia"/>
          <w:kern w:val="0"/>
        </w:rPr>
        <w:tab/>
      </w:r>
      <w:r>
        <w:rPr>
          <w:rFonts w:hint="eastAsia"/>
          <w:kern w:val="0"/>
        </w:rPr>
        <w:t>A．营业净利润+折旧+所得税</w:t>
      </w:r>
      <w:r>
        <w:rPr>
          <w:rFonts w:hint="eastAsia"/>
          <w:kern w:val="0"/>
        </w:rPr>
        <w:tab/>
      </w:r>
      <w:r>
        <w:rPr>
          <w:rFonts w:hint="eastAsia"/>
          <w:kern w:val="0"/>
        </w:rPr>
        <w:tab/>
      </w:r>
      <w:r>
        <w:rPr>
          <w:rFonts w:hint="eastAsia"/>
          <w:kern w:val="0"/>
        </w:rPr>
        <w:t>B．营业净利润+折旧</w:t>
      </w:r>
    </w:p>
    <w:p>
      <w:pPr>
        <w:autoSpaceDE w:val="0"/>
        <w:autoSpaceDN w:val="0"/>
        <w:adjustRightInd w:val="0"/>
        <w:ind w:left="601" w:leftChars="315" w:firstLine="214" w:firstLineChars="112"/>
        <w:jc w:val="left"/>
        <w:rPr>
          <w:rFonts w:hint="eastAsia"/>
          <w:kern w:val="0"/>
        </w:rPr>
      </w:pPr>
      <w:r>
        <w:rPr>
          <w:rFonts w:hint="eastAsia"/>
          <w:kern w:val="0"/>
        </w:rPr>
        <w:t>C．营业收入-付现成本-所得税</w:t>
      </w:r>
      <w:r>
        <w:rPr>
          <w:rFonts w:hint="eastAsia"/>
          <w:kern w:val="0"/>
        </w:rPr>
        <w:tab/>
      </w:r>
      <w:r>
        <w:rPr>
          <w:rFonts w:hint="eastAsia"/>
          <w:kern w:val="0"/>
        </w:rPr>
        <w:tab/>
      </w:r>
      <w:r>
        <w:rPr>
          <w:rFonts w:hint="eastAsia"/>
          <w:kern w:val="0"/>
        </w:rPr>
        <w:t>D．营业收入-营业成本-所得税</w:t>
      </w:r>
    </w:p>
    <w:p>
      <w:pPr>
        <w:autoSpaceDE w:val="0"/>
        <w:autoSpaceDN w:val="0"/>
        <w:adjustRightInd w:val="0"/>
        <w:jc w:val="left"/>
        <w:rPr>
          <w:rFonts w:hint="eastAsia"/>
          <w:kern w:val="0"/>
        </w:rPr>
      </w:pPr>
      <w:r>
        <w:rPr>
          <w:rFonts w:hint="eastAsia"/>
          <w:kern w:val="0"/>
        </w:rPr>
        <w:t xml:space="preserve">     3．现金管理的主要内容是（             ）。</w:t>
      </w:r>
    </w:p>
    <w:p>
      <w:pPr>
        <w:autoSpaceDE w:val="0"/>
        <w:autoSpaceDN w:val="0"/>
        <w:adjustRightInd w:val="0"/>
        <w:ind w:left="600"/>
        <w:jc w:val="left"/>
        <w:rPr>
          <w:rFonts w:hint="eastAsia"/>
          <w:kern w:val="0"/>
        </w:rPr>
      </w:pPr>
      <w:r>
        <w:rPr>
          <w:rFonts w:hint="eastAsia"/>
          <w:kern w:val="0"/>
        </w:rPr>
        <w:t xml:space="preserve"> A．编制现金预算</w:t>
      </w:r>
      <w:r>
        <w:rPr>
          <w:rFonts w:hint="eastAsia"/>
          <w:kern w:val="0"/>
        </w:rPr>
        <w:tab/>
      </w:r>
      <w:r>
        <w:rPr>
          <w:rFonts w:hint="eastAsia"/>
          <w:kern w:val="0"/>
        </w:rPr>
        <w:tab/>
      </w:r>
      <w:r>
        <w:rPr>
          <w:rFonts w:hint="eastAsia"/>
          <w:kern w:val="0"/>
        </w:rPr>
        <w:tab/>
      </w:r>
      <w:r>
        <w:rPr>
          <w:rFonts w:hint="eastAsia"/>
          <w:kern w:val="0"/>
        </w:rPr>
        <w:t>B．确定最佳现金持有量</w:t>
      </w:r>
    </w:p>
    <w:p>
      <w:pPr>
        <w:autoSpaceDE w:val="0"/>
        <w:autoSpaceDN w:val="0"/>
        <w:adjustRightInd w:val="0"/>
        <w:ind w:left="5036" w:hanging="4316"/>
        <w:jc w:val="left"/>
        <w:rPr>
          <w:rFonts w:hint="eastAsia"/>
          <w:kern w:val="0"/>
        </w:rPr>
      </w:pPr>
      <w:r>
        <w:rPr>
          <w:rFonts w:hint="eastAsia"/>
          <w:kern w:val="0"/>
        </w:rPr>
        <w:t>C．进行现金分析</w:t>
      </w:r>
      <w:r>
        <w:rPr>
          <w:kern w:val="0"/>
        </w:rPr>
        <w:t xml:space="preserve">                   </w:t>
      </w:r>
      <w:r>
        <w:rPr>
          <w:rFonts w:hint="eastAsia"/>
          <w:kern w:val="0"/>
        </w:rPr>
        <w:t>D．控制现金流量和余额</w:t>
      </w:r>
    </w:p>
    <w:p>
      <w:pPr>
        <w:autoSpaceDE w:val="0"/>
        <w:autoSpaceDN w:val="0"/>
        <w:adjustRightInd w:val="0"/>
        <w:jc w:val="left"/>
        <w:rPr>
          <w:rFonts w:hint="eastAsia"/>
          <w:kern w:val="0"/>
        </w:rPr>
      </w:pPr>
      <w:r>
        <w:rPr>
          <w:rFonts w:hint="eastAsia"/>
          <w:kern w:val="0"/>
        </w:rPr>
        <w:t xml:space="preserve">     4．外部长期投资的目的是：（           ）。</w:t>
      </w:r>
    </w:p>
    <w:p>
      <w:pPr>
        <w:autoSpaceDE w:val="0"/>
        <w:autoSpaceDN w:val="0"/>
        <w:adjustRightInd w:val="0"/>
        <w:jc w:val="left"/>
        <w:rPr>
          <w:rFonts w:hint="eastAsia"/>
          <w:kern w:val="0"/>
        </w:rPr>
      </w:pPr>
      <w:r>
        <w:rPr>
          <w:rFonts w:hint="eastAsia"/>
          <w:kern w:val="0"/>
        </w:rPr>
        <w:tab/>
      </w:r>
      <w:r>
        <w:rPr>
          <w:rFonts w:hint="eastAsia"/>
          <w:kern w:val="0"/>
        </w:rPr>
        <w:t xml:space="preserve">   A．为扩大生产能力准备资金</w:t>
      </w:r>
      <w:r>
        <w:rPr>
          <w:rFonts w:hint="eastAsia"/>
          <w:kern w:val="0"/>
        </w:rPr>
        <w:tab/>
      </w:r>
      <w:r>
        <w:rPr>
          <w:rFonts w:hint="eastAsia"/>
          <w:kern w:val="0"/>
        </w:rPr>
        <w:t xml:space="preserve">       B．维持企业简单再生产</w:t>
      </w:r>
    </w:p>
    <w:p>
      <w:pPr>
        <w:autoSpaceDE w:val="0"/>
        <w:autoSpaceDN w:val="0"/>
        <w:adjustRightInd w:val="0"/>
        <w:jc w:val="left"/>
        <w:rPr>
          <w:rFonts w:hint="eastAsia"/>
          <w:kern w:val="0"/>
        </w:rPr>
      </w:pPr>
      <w:r>
        <w:rPr>
          <w:rFonts w:hint="eastAsia"/>
          <w:kern w:val="0"/>
        </w:rPr>
        <w:tab/>
      </w:r>
      <w:r>
        <w:rPr>
          <w:rFonts w:hint="eastAsia"/>
          <w:kern w:val="0"/>
        </w:rPr>
        <w:t xml:space="preserve">   C．为企业暂时闲置的资金寻找出路 </w:t>
      </w:r>
      <w:r>
        <w:rPr>
          <w:rFonts w:hint="eastAsia"/>
          <w:kern w:val="0"/>
        </w:rPr>
        <w:tab/>
      </w:r>
      <w:r>
        <w:rPr>
          <w:rFonts w:hint="eastAsia"/>
          <w:kern w:val="0"/>
        </w:rPr>
        <w:t xml:space="preserve">  D．影响或控制被投资企业的经营</w:t>
      </w:r>
    </w:p>
    <w:p>
      <w:pPr>
        <w:rPr>
          <w:rFonts w:hint="eastAsia"/>
        </w:rPr>
      </w:pPr>
      <w:r>
        <w:rPr>
          <w:rFonts w:hint="eastAsia"/>
          <w:kern w:val="0"/>
        </w:rPr>
        <w:t xml:space="preserve">     5．</w:t>
      </w:r>
      <w:r>
        <w:rPr>
          <w:rFonts w:hint="eastAsia"/>
        </w:rPr>
        <w:t>长期资金的筹集方式有（             ）。</w:t>
      </w:r>
    </w:p>
    <w:p>
      <w:pPr>
        <w:rPr>
          <w:rFonts w:hint="eastAsia"/>
        </w:rPr>
      </w:pPr>
      <w:r>
        <w:rPr>
          <w:rFonts w:hint="eastAsia"/>
        </w:rPr>
        <w:t xml:space="preserve">            A     股票筹资               B    企业债券筹资</w:t>
      </w:r>
    </w:p>
    <w:p>
      <w:pPr>
        <w:rPr>
          <w:rFonts w:hint="eastAsia"/>
          <w:kern w:val="0"/>
        </w:rPr>
      </w:pPr>
      <w:r>
        <w:rPr>
          <w:rFonts w:hint="eastAsia"/>
        </w:rPr>
        <w:t xml:space="preserve">            C     长期借款               D    融资租赁</w:t>
      </w:r>
      <w:r>
        <w:rPr>
          <w:rFonts w:hint="eastAsia"/>
          <w:kern w:val="0"/>
        </w:rPr>
        <w:t xml:space="preserve">  </w:t>
      </w:r>
    </w:p>
    <w:p>
      <w:pPr>
        <w:autoSpaceDE w:val="0"/>
        <w:autoSpaceDN w:val="0"/>
        <w:adjustRightInd w:val="0"/>
        <w:ind w:left="630"/>
        <w:jc w:val="left"/>
        <w:rPr>
          <w:rFonts w:hint="eastAsia"/>
          <w:kern w:val="0"/>
        </w:rPr>
      </w:pPr>
      <w:r>
        <w:rPr>
          <w:rFonts w:hint="eastAsia"/>
          <w:kern w:val="0"/>
        </w:rPr>
        <w:t>　</w:t>
      </w:r>
    </w:p>
    <w:p>
      <w:pPr>
        <w:widowControl/>
        <w:ind w:firstLine="420"/>
        <w:jc w:val="left"/>
        <w:rPr>
          <w:rFonts w:hint="eastAsia"/>
          <w:kern w:val="0"/>
        </w:rPr>
      </w:pPr>
      <w:r>
        <w:rPr>
          <w:rFonts w:hint="eastAsia"/>
          <w:b/>
          <w:kern w:val="0"/>
        </w:rPr>
        <w:t>四、判断题</w:t>
      </w:r>
    </w:p>
    <w:p>
      <w:pPr>
        <w:numPr>
          <w:ilvl w:val="0"/>
          <w:numId w:val="1"/>
        </w:numPr>
        <w:tabs>
          <w:tab w:val="left" w:pos="706"/>
          <w:tab w:val="clear" w:pos="960"/>
        </w:tabs>
        <w:autoSpaceDE w:val="0"/>
        <w:autoSpaceDN w:val="0"/>
        <w:adjustRightInd w:val="0"/>
        <w:jc w:val="left"/>
        <w:rPr>
          <w:rFonts w:hint="eastAsia" w:ascii="宋体" w:hAnsi="宋体"/>
          <w:kern w:val="0"/>
        </w:rPr>
      </w:pPr>
      <w:r>
        <w:rPr>
          <w:rFonts w:hint="eastAsia" w:ascii="宋体" w:hAnsi="宋体"/>
          <w:kern w:val="0"/>
        </w:rPr>
        <w:t>在终值和贴现率一定的情况下，计息期数越多，则折算出的现值越大。  （          ）</w:t>
      </w:r>
    </w:p>
    <w:p>
      <w:pPr>
        <w:autoSpaceDE w:val="0"/>
        <w:autoSpaceDN w:val="0"/>
        <w:adjustRightInd w:val="0"/>
        <w:ind w:left="600"/>
        <w:jc w:val="left"/>
        <w:rPr>
          <w:rFonts w:hint="eastAsia" w:ascii="宋体" w:hAnsi="宋体"/>
          <w:kern w:val="0"/>
        </w:rPr>
      </w:pPr>
    </w:p>
    <w:p>
      <w:pPr>
        <w:autoSpaceDE w:val="0"/>
        <w:autoSpaceDN w:val="0"/>
        <w:adjustRightInd w:val="0"/>
        <w:ind w:firstLine="630"/>
        <w:jc w:val="left"/>
        <w:rPr>
          <w:rFonts w:hint="eastAsia" w:ascii="宋体" w:hAnsi="宋体"/>
          <w:kern w:val="0"/>
        </w:rPr>
      </w:pPr>
      <w:r>
        <w:rPr>
          <w:rFonts w:hint="eastAsia" w:ascii="宋体" w:hAnsi="宋体"/>
          <w:kern w:val="0"/>
        </w:rPr>
        <w:t>2．产成品是企业的一项资金占用，为了加速资金的周转，产成品资金占用越少越好。（        ）</w:t>
      </w:r>
    </w:p>
    <w:p>
      <w:pPr>
        <w:tabs>
          <w:tab w:val="left" w:pos="0"/>
        </w:tabs>
        <w:autoSpaceDE w:val="0"/>
        <w:autoSpaceDN w:val="0"/>
        <w:adjustRightInd w:val="0"/>
        <w:jc w:val="left"/>
        <w:rPr>
          <w:rFonts w:hint="eastAsia" w:ascii="宋体" w:hAnsi="宋体"/>
          <w:kern w:val="0"/>
        </w:rPr>
      </w:pPr>
      <w:r>
        <w:rPr>
          <w:rFonts w:hint="eastAsia" w:ascii="宋体" w:hAnsi="宋体"/>
          <w:kern w:val="0"/>
        </w:rPr>
        <w:t xml:space="preserve">      </w:t>
      </w:r>
      <w:r>
        <w:rPr>
          <w:rFonts w:hint="eastAsia" w:ascii="宋体" w:hAnsi="宋体"/>
          <w:kern w:val="0"/>
        </w:rPr>
        <w:tab/>
      </w:r>
      <w:r>
        <w:rPr>
          <w:rFonts w:hint="eastAsia" w:ascii="宋体" w:hAnsi="宋体"/>
          <w:kern w:val="0"/>
        </w:rPr>
        <w:t xml:space="preserve">    </w:t>
      </w:r>
      <w:r>
        <w:rPr>
          <w:rFonts w:ascii="宋体" w:hAnsi="宋体"/>
          <w:kern w:val="0"/>
        </w:rPr>
        <w:t xml:space="preserve"> </w:t>
      </w:r>
    </w:p>
    <w:p>
      <w:pPr>
        <w:tabs>
          <w:tab w:val="left" w:pos="0"/>
        </w:tabs>
        <w:autoSpaceDE w:val="0"/>
        <w:autoSpaceDN w:val="0"/>
        <w:adjustRightInd w:val="0"/>
        <w:ind w:firstLine="630"/>
        <w:jc w:val="left"/>
        <w:rPr>
          <w:rFonts w:hint="eastAsia" w:ascii="宋体" w:hAnsi="宋体"/>
          <w:kern w:val="0"/>
        </w:rPr>
      </w:pPr>
      <w:r>
        <w:rPr>
          <w:rFonts w:hint="eastAsia" w:ascii="宋体" w:hAnsi="宋体"/>
          <w:kern w:val="0"/>
        </w:rPr>
        <w:t>3．投资组合的报酬，是指投资者由于承担了系统性风险而要求的超过无风险报酬率的那部分额外报酬。  （        ）</w:t>
      </w:r>
    </w:p>
    <w:p>
      <w:pPr>
        <w:autoSpaceDE w:val="0"/>
        <w:autoSpaceDN w:val="0"/>
        <w:adjustRightInd w:val="0"/>
        <w:ind w:left="600"/>
        <w:jc w:val="left"/>
        <w:rPr>
          <w:rFonts w:hint="eastAsia" w:ascii="宋体" w:hAnsi="宋体"/>
          <w:kern w:val="0"/>
        </w:rPr>
      </w:pPr>
    </w:p>
    <w:p>
      <w:pPr>
        <w:autoSpaceDE w:val="0"/>
        <w:autoSpaceDN w:val="0"/>
        <w:adjustRightInd w:val="0"/>
        <w:ind w:firstLine="630"/>
        <w:jc w:val="left"/>
        <w:rPr>
          <w:rFonts w:hint="eastAsia" w:ascii="宋体" w:hAnsi="宋体"/>
          <w:kern w:val="0"/>
        </w:rPr>
      </w:pPr>
    </w:p>
    <w:p>
      <w:pPr>
        <w:autoSpaceDE w:val="0"/>
        <w:autoSpaceDN w:val="0"/>
        <w:adjustRightInd w:val="0"/>
        <w:ind w:left="120"/>
        <w:jc w:val="left"/>
        <w:rPr>
          <w:rFonts w:hint="eastAsia"/>
          <w:b/>
          <w:kern w:val="0"/>
        </w:rPr>
      </w:pPr>
      <w:r>
        <w:rPr>
          <w:rFonts w:hint="eastAsia"/>
          <w:b/>
          <w:kern w:val="0"/>
        </w:rPr>
        <w:t xml:space="preserve">五、简答题 </w:t>
      </w:r>
    </w:p>
    <w:p>
      <w:pPr>
        <w:autoSpaceDE w:val="0"/>
        <w:autoSpaceDN w:val="0"/>
        <w:adjustRightInd w:val="0"/>
        <w:ind w:firstLine="187" w:firstLineChars="98"/>
        <w:jc w:val="left"/>
        <w:rPr>
          <w:rFonts w:hint="eastAsia"/>
          <w:kern w:val="0"/>
        </w:rPr>
      </w:pPr>
      <w:r>
        <w:rPr>
          <w:rFonts w:hint="eastAsia"/>
          <w:kern w:val="0"/>
        </w:rPr>
        <w:t>1、试述应收帐款的信用政策。</w:t>
      </w: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ind w:firstLine="187" w:firstLineChars="98"/>
        <w:rPr>
          <w:rFonts w:hint="eastAsia"/>
        </w:rPr>
      </w:pPr>
      <w:r>
        <w:rPr>
          <w:rFonts w:hint="eastAsia"/>
          <w:kern w:val="0"/>
        </w:rPr>
        <w:t>2、试述股利政策及其种类、特点。</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autoSpaceDE w:val="0"/>
        <w:autoSpaceDN w:val="0"/>
        <w:adjustRightInd w:val="0"/>
        <w:ind w:left="120"/>
        <w:jc w:val="left"/>
        <w:rPr>
          <w:rFonts w:hint="eastAsia"/>
          <w:b/>
          <w:kern w:val="0"/>
        </w:rPr>
      </w:pPr>
      <w:r>
        <w:rPr>
          <w:rFonts w:hint="eastAsia"/>
          <w:b/>
          <w:kern w:val="0"/>
        </w:rPr>
        <w:t xml:space="preserve">六、计算分析题 </w:t>
      </w:r>
    </w:p>
    <w:p>
      <w:pPr>
        <w:autoSpaceDE w:val="0"/>
        <w:autoSpaceDN w:val="0"/>
        <w:adjustRightInd w:val="0"/>
        <w:ind w:left="120"/>
        <w:jc w:val="left"/>
        <w:rPr>
          <w:rFonts w:hint="eastAsia"/>
          <w:kern w:val="0"/>
        </w:rPr>
      </w:pPr>
      <w:r>
        <w:rPr>
          <w:rFonts w:hint="eastAsia" w:ascii="宋体" w:hAnsi="宋体"/>
        </w:rPr>
        <w:t>1、甲公司</w:t>
      </w:r>
      <w:r>
        <w:rPr>
          <w:rFonts w:hint="eastAsia"/>
        </w:rPr>
        <w:t>2001年年初对A设备投资100000元，该项目2003年年初完工投产；2003年至2005年各年年末预期收益分别为20000元、40000元、60000元；银行存款复利利率为12%。要求：按复利计算2003年年初投资额的终值和2003年年初各年预期收益的现值之和。</w:t>
      </w:r>
      <w:r>
        <w:rPr>
          <w:rFonts w:hint="eastAsia"/>
          <w:b/>
        </w:rPr>
        <w:t>（6分）</w:t>
      </w: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autoSpaceDE w:val="0"/>
        <w:autoSpaceDN w:val="0"/>
        <w:adjustRightInd w:val="0"/>
        <w:ind w:left="120"/>
        <w:jc w:val="left"/>
        <w:rPr>
          <w:rFonts w:hint="eastAsia"/>
          <w:kern w:val="0"/>
        </w:rPr>
      </w:pPr>
    </w:p>
    <w:p>
      <w:pPr>
        <w:numPr>
          <w:ilvl w:val="0"/>
          <w:numId w:val="2"/>
        </w:numPr>
        <w:autoSpaceDE w:val="0"/>
        <w:autoSpaceDN w:val="0"/>
        <w:adjustRightInd w:val="0"/>
        <w:jc w:val="left"/>
        <w:rPr>
          <w:rFonts w:hint="eastAsia"/>
          <w:kern w:val="0"/>
        </w:rPr>
      </w:pPr>
      <w:r>
        <w:rPr>
          <w:rFonts w:hint="eastAsia"/>
          <w:kern w:val="0"/>
        </w:rPr>
        <w:t>某公司年初的资本总额为1600万元，各种资本所占比重和资金成本如下：</w:t>
      </w:r>
    </w:p>
    <w:tbl>
      <w:tblPr>
        <w:tblStyle w:val="6"/>
        <w:tblW w:w="7199" w:type="dxa"/>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1866"/>
        <w:gridCol w:w="1765"/>
        <w:gridCol w:w="2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50" w:type="dxa"/>
            <w:noWrap w:val="0"/>
            <w:vAlign w:val="top"/>
          </w:tcPr>
          <w:p>
            <w:pPr>
              <w:autoSpaceDE w:val="0"/>
              <w:autoSpaceDN w:val="0"/>
              <w:adjustRightInd w:val="0"/>
              <w:jc w:val="center"/>
              <w:rPr>
                <w:rFonts w:hint="eastAsia"/>
                <w:kern w:val="0"/>
              </w:rPr>
            </w:pPr>
            <w:r>
              <w:rPr>
                <w:rFonts w:hint="eastAsia"/>
                <w:kern w:val="0"/>
              </w:rPr>
              <w:t>资本项目</w:t>
            </w:r>
          </w:p>
        </w:tc>
        <w:tc>
          <w:tcPr>
            <w:tcW w:w="1866" w:type="dxa"/>
            <w:noWrap w:val="0"/>
            <w:vAlign w:val="top"/>
          </w:tcPr>
          <w:p>
            <w:pPr>
              <w:autoSpaceDE w:val="0"/>
              <w:autoSpaceDN w:val="0"/>
              <w:adjustRightInd w:val="0"/>
              <w:jc w:val="center"/>
              <w:rPr>
                <w:rFonts w:hint="eastAsia"/>
                <w:kern w:val="0"/>
              </w:rPr>
            </w:pPr>
            <w:r>
              <w:rPr>
                <w:rFonts w:hint="eastAsia"/>
                <w:kern w:val="0"/>
              </w:rPr>
              <w:t>资本额（万元）</w:t>
            </w:r>
          </w:p>
        </w:tc>
        <w:tc>
          <w:tcPr>
            <w:tcW w:w="1765" w:type="dxa"/>
            <w:noWrap w:val="0"/>
            <w:vAlign w:val="top"/>
          </w:tcPr>
          <w:p>
            <w:pPr>
              <w:autoSpaceDE w:val="0"/>
              <w:autoSpaceDN w:val="0"/>
              <w:adjustRightInd w:val="0"/>
              <w:jc w:val="center"/>
              <w:rPr>
                <w:rFonts w:hint="eastAsia"/>
                <w:kern w:val="0"/>
              </w:rPr>
            </w:pPr>
            <w:r>
              <w:rPr>
                <w:rFonts w:hint="eastAsia"/>
                <w:kern w:val="0"/>
              </w:rPr>
              <w:t>比重（%）</w:t>
            </w:r>
          </w:p>
        </w:tc>
        <w:tc>
          <w:tcPr>
            <w:tcW w:w="2118" w:type="dxa"/>
            <w:noWrap w:val="0"/>
            <w:vAlign w:val="top"/>
          </w:tcPr>
          <w:p>
            <w:pPr>
              <w:autoSpaceDE w:val="0"/>
              <w:autoSpaceDN w:val="0"/>
              <w:adjustRightInd w:val="0"/>
              <w:jc w:val="center"/>
              <w:rPr>
                <w:rFonts w:hint="eastAsia"/>
                <w:kern w:val="0"/>
              </w:rPr>
            </w:pPr>
            <w:r>
              <w:rPr>
                <w:rFonts w:hint="eastAsia"/>
                <w:kern w:val="0"/>
              </w:rPr>
              <w:t>资金成本率（%）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50" w:type="dxa"/>
            <w:noWrap w:val="0"/>
            <w:vAlign w:val="top"/>
          </w:tcPr>
          <w:p>
            <w:pPr>
              <w:autoSpaceDE w:val="0"/>
              <w:autoSpaceDN w:val="0"/>
              <w:adjustRightInd w:val="0"/>
              <w:jc w:val="center"/>
              <w:rPr>
                <w:rFonts w:hint="eastAsia"/>
                <w:kern w:val="0"/>
              </w:rPr>
            </w:pPr>
            <w:r>
              <w:rPr>
                <w:rFonts w:hint="eastAsia"/>
                <w:kern w:val="0"/>
              </w:rPr>
              <w:t>公司债券</w:t>
            </w:r>
          </w:p>
        </w:tc>
        <w:tc>
          <w:tcPr>
            <w:tcW w:w="1866" w:type="dxa"/>
            <w:noWrap w:val="0"/>
            <w:vAlign w:val="top"/>
          </w:tcPr>
          <w:p>
            <w:pPr>
              <w:autoSpaceDE w:val="0"/>
              <w:autoSpaceDN w:val="0"/>
              <w:adjustRightInd w:val="0"/>
              <w:jc w:val="center"/>
              <w:rPr>
                <w:rFonts w:hint="eastAsia"/>
                <w:kern w:val="0"/>
              </w:rPr>
            </w:pPr>
            <w:r>
              <w:rPr>
                <w:rFonts w:hint="eastAsia"/>
                <w:kern w:val="0"/>
              </w:rPr>
              <w:t>480</w:t>
            </w:r>
          </w:p>
        </w:tc>
        <w:tc>
          <w:tcPr>
            <w:tcW w:w="1765" w:type="dxa"/>
            <w:noWrap w:val="0"/>
            <w:vAlign w:val="top"/>
          </w:tcPr>
          <w:p>
            <w:pPr>
              <w:autoSpaceDE w:val="0"/>
              <w:autoSpaceDN w:val="0"/>
              <w:adjustRightInd w:val="0"/>
              <w:jc w:val="center"/>
              <w:rPr>
                <w:rFonts w:hint="eastAsia"/>
                <w:kern w:val="0"/>
              </w:rPr>
            </w:pPr>
            <w:r>
              <w:rPr>
                <w:rFonts w:hint="eastAsia"/>
                <w:kern w:val="0"/>
              </w:rPr>
              <w:t>30</w:t>
            </w:r>
          </w:p>
        </w:tc>
        <w:tc>
          <w:tcPr>
            <w:tcW w:w="2118" w:type="dxa"/>
            <w:noWrap w:val="0"/>
            <w:vAlign w:val="top"/>
          </w:tcPr>
          <w:p>
            <w:pPr>
              <w:autoSpaceDE w:val="0"/>
              <w:autoSpaceDN w:val="0"/>
              <w:adjustRightInd w:val="0"/>
              <w:jc w:val="center"/>
              <w:rPr>
                <w:rFonts w:hint="eastAsia"/>
                <w:kern w:val="0"/>
              </w:rPr>
            </w:pPr>
            <w:r>
              <w:rPr>
                <w:rFonts w:hint="eastAsia"/>
                <w:kern w:val="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50" w:type="dxa"/>
            <w:noWrap w:val="0"/>
            <w:vAlign w:val="top"/>
          </w:tcPr>
          <w:p>
            <w:pPr>
              <w:autoSpaceDE w:val="0"/>
              <w:autoSpaceDN w:val="0"/>
              <w:adjustRightInd w:val="0"/>
              <w:jc w:val="center"/>
              <w:rPr>
                <w:rFonts w:hint="eastAsia"/>
                <w:kern w:val="0"/>
              </w:rPr>
            </w:pPr>
            <w:r>
              <w:rPr>
                <w:rFonts w:hint="eastAsia"/>
                <w:kern w:val="0"/>
              </w:rPr>
              <w:t>优先股</w:t>
            </w:r>
          </w:p>
        </w:tc>
        <w:tc>
          <w:tcPr>
            <w:tcW w:w="1866" w:type="dxa"/>
            <w:noWrap w:val="0"/>
            <w:vAlign w:val="top"/>
          </w:tcPr>
          <w:p>
            <w:pPr>
              <w:autoSpaceDE w:val="0"/>
              <w:autoSpaceDN w:val="0"/>
              <w:adjustRightInd w:val="0"/>
              <w:jc w:val="center"/>
              <w:rPr>
                <w:rFonts w:hint="eastAsia"/>
                <w:kern w:val="0"/>
              </w:rPr>
            </w:pPr>
            <w:r>
              <w:rPr>
                <w:rFonts w:hint="eastAsia"/>
                <w:kern w:val="0"/>
              </w:rPr>
              <w:t>160</w:t>
            </w:r>
          </w:p>
        </w:tc>
        <w:tc>
          <w:tcPr>
            <w:tcW w:w="1765" w:type="dxa"/>
            <w:noWrap w:val="0"/>
            <w:vAlign w:val="top"/>
          </w:tcPr>
          <w:p>
            <w:pPr>
              <w:autoSpaceDE w:val="0"/>
              <w:autoSpaceDN w:val="0"/>
              <w:adjustRightInd w:val="0"/>
              <w:jc w:val="center"/>
              <w:rPr>
                <w:rFonts w:hint="eastAsia"/>
                <w:kern w:val="0"/>
              </w:rPr>
            </w:pPr>
            <w:r>
              <w:rPr>
                <w:rFonts w:hint="eastAsia"/>
                <w:kern w:val="0"/>
              </w:rPr>
              <w:t>10</w:t>
            </w:r>
          </w:p>
        </w:tc>
        <w:tc>
          <w:tcPr>
            <w:tcW w:w="2118" w:type="dxa"/>
            <w:noWrap w:val="0"/>
            <w:vAlign w:val="top"/>
          </w:tcPr>
          <w:p>
            <w:pPr>
              <w:autoSpaceDE w:val="0"/>
              <w:autoSpaceDN w:val="0"/>
              <w:adjustRightInd w:val="0"/>
              <w:jc w:val="center"/>
              <w:rPr>
                <w:rFonts w:hint="eastAsia"/>
                <w:kern w:val="0"/>
              </w:rPr>
            </w:pPr>
            <w:r>
              <w:rPr>
                <w:rFonts w:hint="eastAsia"/>
                <w:kern w:val="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50" w:type="dxa"/>
            <w:noWrap w:val="0"/>
            <w:vAlign w:val="top"/>
          </w:tcPr>
          <w:p>
            <w:pPr>
              <w:autoSpaceDE w:val="0"/>
              <w:autoSpaceDN w:val="0"/>
              <w:adjustRightInd w:val="0"/>
              <w:jc w:val="center"/>
              <w:rPr>
                <w:rFonts w:hint="eastAsia"/>
                <w:kern w:val="0"/>
              </w:rPr>
            </w:pPr>
            <w:r>
              <w:rPr>
                <w:rFonts w:hint="eastAsia"/>
                <w:kern w:val="0"/>
              </w:rPr>
              <w:t>普通股</w:t>
            </w:r>
          </w:p>
        </w:tc>
        <w:tc>
          <w:tcPr>
            <w:tcW w:w="1866" w:type="dxa"/>
            <w:noWrap w:val="0"/>
            <w:vAlign w:val="top"/>
          </w:tcPr>
          <w:p>
            <w:pPr>
              <w:autoSpaceDE w:val="0"/>
              <w:autoSpaceDN w:val="0"/>
              <w:adjustRightInd w:val="0"/>
              <w:jc w:val="center"/>
              <w:rPr>
                <w:rFonts w:hint="eastAsia"/>
                <w:kern w:val="0"/>
              </w:rPr>
            </w:pPr>
            <w:r>
              <w:rPr>
                <w:rFonts w:hint="eastAsia"/>
                <w:kern w:val="0"/>
              </w:rPr>
              <w:t>640</w:t>
            </w:r>
          </w:p>
        </w:tc>
        <w:tc>
          <w:tcPr>
            <w:tcW w:w="1765" w:type="dxa"/>
            <w:noWrap w:val="0"/>
            <w:vAlign w:val="top"/>
          </w:tcPr>
          <w:p>
            <w:pPr>
              <w:autoSpaceDE w:val="0"/>
              <w:autoSpaceDN w:val="0"/>
              <w:adjustRightInd w:val="0"/>
              <w:jc w:val="center"/>
              <w:rPr>
                <w:rFonts w:hint="eastAsia"/>
                <w:kern w:val="0"/>
              </w:rPr>
            </w:pPr>
            <w:r>
              <w:rPr>
                <w:rFonts w:hint="eastAsia"/>
                <w:kern w:val="0"/>
              </w:rPr>
              <w:t>40</w:t>
            </w:r>
          </w:p>
        </w:tc>
        <w:tc>
          <w:tcPr>
            <w:tcW w:w="2118" w:type="dxa"/>
            <w:noWrap w:val="0"/>
            <w:vAlign w:val="top"/>
          </w:tcPr>
          <w:p>
            <w:pPr>
              <w:autoSpaceDE w:val="0"/>
              <w:autoSpaceDN w:val="0"/>
              <w:adjustRightInd w:val="0"/>
              <w:jc w:val="center"/>
              <w:rPr>
                <w:rFonts w:hint="eastAsia"/>
                <w:kern w:val="0"/>
              </w:rPr>
            </w:pPr>
            <w:r>
              <w:rPr>
                <w:rFonts w:hint="eastAsia"/>
                <w:kern w:val="0"/>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50" w:type="dxa"/>
            <w:noWrap w:val="0"/>
            <w:vAlign w:val="top"/>
          </w:tcPr>
          <w:p>
            <w:pPr>
              <w:autoSpaceDE w:val="0"/>
              <w:autoSpaceDN w:val="0"/>
              <w:adjustRightInd w:val="0"/>
              <w:jc w:val="center"/>
              <w:rPr>
                <w:rFonts w:hint="eastAsia"/>
                <w:kern w:val="0"/>
              </w:rPr>
            </w:pPr>
            <w:r>
              <w:rPr>
                <w:rFonts w:hint="eastAsia"/>
                <w:kern w:val="0"/>
              </w:rPr>
              <w:t>留存收益</w:t>
            </w:r>
          </w:p>
        </w:tc>
        <w:tc>
          <w:tcPr>
            <w:tcW w:w="1866" w:type="dxa"/>
            <w:noWrap w:val="0"/>
            <w:vAlign w:val="top"/>
          </w:tcPr>
          <w:p>
            <w:pPr>
              <w:autoSpaceDE w:val="0"/>
              <w:autoSpaceDN w:val="0"/>
              <w:adjustRightInd w:val="0"/>
              <w:jc w:val="center"/>
              <w:rPr>
                <w:rFonts w:hint="eastAsia"/>
                <w:kern w:val="0"/>
              </w:rPr>
            </w:pPr>
            <w:r>
              <w:rPr>
                <w:rFonts w:hint="eastAsia"/>
                <w:kern w:val="0"/>
              </w:rPr>
              <w:t>320</w:t>
            </w:r>
          </w:p>
        </w:tc>
        <w:tc>
          <w:tcPr>
            <w:tcW w:w="1765" w:type="dxa"/>
            <w:noWrap w:val="0"/>
            <w:vAlign w:val="top"/>
          </w:tcPr>
          <w:p>
            <w:pPr>
              <w:autoSpaceDE w:val="0"/>
              <w:autoSpaceDN w:val="0"/>
              <w:adjustRightInd w:val="0"/>
              <w:jc w:val="center"/>
              <w:rPr>
                <w:rFonts w:hint="eastAsia"/>
                <w:kern w:val="0"/>
              </w:rPr>
            </w:pPr>
            <w:r>
              <w:rPr>
                <w:rFonts w:hint="eastAsia"/>
                <w:kern w:val="0"/>
              </w:rPr>
              <w:t>20</w:t>
            </w:r>
          </w:p>
        </w:tc>
        <w:tc>
          <w:tcPr>
            <w:tcW w:w="2118" w:type="dxa"/>
            <w:noWrap w:val="0"/>
            <w:vAlign w:val="top"/>
          </w:tcPr>
          <w:p>
            <w:pPr>
              <w:autoSpaceDE w:val="0"/>
              <w:autoSpaceDN w:val="0"/>
              <w:adjustRightInd w:val="0"/>
              <w:jc w:val="center"/>
              <w:rPr>
                <w:rFonts w:hint="eastAsia"/>
                <w:kern w:val="0"/>
              </w:rPr>
            </w:pPr>
            <w:r>
              <w:rPr>
                <w:rFonts w:hint="eastAsia"/>
                <w:kern w:val="0"/>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50" w:type="dxa"/>
            <w:noWrap w:val="0"/>
            <w:vAlign w:val="top"/>
          </w:tcPr>
          <w:p>
            <w:pPr>
              <w:autoSpaceDE w:val="0"/>
              <w:autoSpaceDN w:val="0"/>
              <w:adjustRightInd w:val="0"/>
              <w:jc w:val="center"/>
              <w:rPr>
                <w:rFonts w:hint="eastAsia"/>
                <w:kern w:val="0"/>
              </w:rPr>
            </w:pPr>
            <w:r>
              <w:rPr>
                <w:rFonts w:hint="eastAsia"/>
                <w:kern w:val="0"/>
              </w:rPr>
              <w:t>合计</w:t>
            </w:r>
          </w:p>
        </w:tc>
        <w:tc>
          <w:tcPr>
            <w:tcW w:w="1866" w:type="dxa"/>
            <w:noWrap w:val="0"/>
            <w:vAlign w:val="top"/>
          </w:tcPr>
          <w:p>
            <w:pPr>
              <w:autoSpaceDE w:val="0"/>
              <w:autoSpaceDN w:val="0"/>
              <w:adjustRightInd w:val="0"/>
              <w:jc w:val="center"/>
              <w:rPr>
                <w:rFonts w:hint="eastAsia"/>
                <w:kern w:val="0"/>
              </w:rPr>
            </w:pPr>
            <w:r>
              <w:rPr>
                <w:rFonts w:hint="eastAsia"/>
                <w:kern w:val="0"/>
              </w:rPr>
              <w:t>1600</w:t>
            </w:r>
          </w:p>
        </w:tc>
        <w:tc>
          <w:tcPr>
            <w:tcW w:w="1765" w:type="dxa"/>
            <w:noWrap w:val="0"/>
            <w:vAlign w:val="top"/>
          </w:tcPr>
          <w:p>
            <w:pPr>
              <w:autoSpaceDE w:val="0"/>
              <w:autoSpaceDN w:val="0"/>
              <w:adjustRightInd w:val="0"/>
              <w:jc w:val="center"/>
              <w:rPr>
                <w:rFonts w:hint="eastAsia"/>
                <w:kern w:val="0"/>
              </w:rPr>
            </w:pPr>
            <w:r>
              <w:rPr>
                <w:rFonts w:hint="eastAsia"/>
                <w:kern w:val="0"/>
              </w:rPr>
              <w:t>100</w:t>
            </w:r>
          </w:p>
        </w:tc>
        <w:tc>
          <w:tcPr>
            <w:tcW w:w="2118" w:type="dxa"/>
            <w:noWrap w:val="0"/>
            <w:vAlign w:val="top"/>
          </w:tcPr>
          <w:p>
            <w:pPr>
              <w:autoSpaceDE w:val="0"/>
              <w:autoSpaceDN w:val="0"/>
              <w:adjustRightInd w:val="0"/>
              <w:jc w:val="center"/>
              <w:rPr>
                <w:rFonts w:hint="eastAsia"/>
                <w:kern w:val="0"/>
              </w:rPr>
            </w:pPr>
          </w:p>
        </w:tc>
      </w:tr>
    </w:tbl>
    <w:p>
      <w:pPr>
        <w:autoSpaceDE w:val="0"/>
        <w:autoSpaceDN w:val="0"/>
        <w:adjustRightInd w:val="0"/>
        <w:ind w:left="600"/>
        <w:jc w:val="left"/>
        <w:rPr>
          <w:rFonts w:hint="eastAsia"/>
          <w:kern w:val="0"/>
        </w:rPr>
      </w:pPr>
      <w:r>
        <w:rPr>
          <w:rFonts w:hint="eastAsia"/>
          <w:kern w:val="0"/>
        </w:rPr>
        <w:t>本年度因扩大经营规模需要增资400万元，现拟出这样一个筹资方案。</w:t>
      </w:r>
    </w:p>
    <w:p>
      <w:pPr>
        <w:autoSpaceDE w:val="0"/>
        <w:autoSpaceDN w:val="0"/>
        <w:adjustRightInd w:val="0"/>
        <w:jc w:val="left"/>
        <w:rPr>
          <w:rFonts w:hint="eastAsia"/>
          <w:b/>
          <w:kern w:val="0"/>
        </w:rPr>
      </w:pPr>
      <w:r>
        <w:rPr>
          <w:rFonts w:hint="eastAsia"/>
          <w:kern w:val="0"/>
        </w:rPr>
        <w:t xml:space="preserve">      公司发行公司债券100万元，普通股票300万元，公司债券年利率10%，筹资费用率2%，由于增发的普通股大于公司债，企业财务风险降低，普通股价格上涨到220元（原每股200元），预计本年普通股每股股利36元，年股利增长率2%，所得税率33%，试求筹资方案采纳后的企业综合资金成本。</w:t>
      </w:r>
      <w:r>
        <w:rPr>
          <w:rFonts w:hint="eastAsia"/>
          <w:b/>
          <w:kern w:val="0"/>
        </w:rPr>
        <w:t>（10分）</w:t>
      </w: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autoSpaceDE w:val="0"/>
        <w:autoSpaceDN w:val="0"/>
        <w:adjustRightInd w:val="0"/>
        <w:jc w:val="left"/>
        <w:rPr>
          <w:rFonts w:hint="eastAsia"/>
          <w:kern w:val="0"/>
        </w:rPr>
      </w:pPr>
    </w:p>
    <w:p>
      <w:pPr>
        <w:numPr>
          <w:ilvl w:val="0"/>
          <w:numId w:val="2"/>
        </w:numPr>
        <w:autoSpaceDE w:val="0"/>
        <w:autoSpaceDN w:val="0"/>
        <w:adjustRightInd w:val="0"/>
        <w:jc w:val="left"/>
        <w:rPr>
          <w:rFonts w:hint="eastAsia"/>
          <w:kern w:val="0"/>
        </w:rPr>
      </w:pPr>
      <w:r>
        <w:rPr>
          <w:rFonts w:hint="eastAsia"/>
          <w:kern w:val="0"/>
        </w:rPr>
        <w:t>某公司现采用30天的信用期限，按发票金额付款，不提供现金折扣。该公司目前尚有较大的剩余生产能力，为了扩大销售提出将信用期限延至45天的策略，假设公司需求的最低报酬率为10%（按有价证券利率确定）。其他有关数据见下表所示。问：延长信用期限可行否？</w:t>
      </w:r>
      <w:r>
        <w:rPr>
          <w:rFonts w:hint="eastAsia"/>
          <w:b/>
          <w:kern w:val="0"/>
        </w:rPr>
        <w:t>（10分）</w:t>
      </w:r>
    </w:p>
    <w:tbl>
      <w:tblPr>
        <w:tblStyle w:val="6"/>
        <w:tblW w:w="7451" w:type="dxa"/>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5"/>
        <w:gridCol w:w="2288"/>
        <w:gridCol w:w="2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3045" w:type="dxa"/>
            <w:noWrap w:val="0"/>
            <w:vAlign w:val="top"/>
          </w:tcPr>
          <w:p>
            <w:pPr>
              <w:autoSpaceDE w:val="0"/>
              <w:autoSpaceDN w:val="0"/>
              <w:adjustRightInd w:val="0"/>
              <w:jc w:val="center"/>
              <w:rPr>
                <w:rFonts w:hint="eastAsia"/>
                <w:kern w:val="0"/>
              </w:rPr>
            </w:pPr>
            <w:r>
              <w:rPr>
                <w:rFonts w:hint="eastAsia"/>
                <w:kern w:val="0"/>
              </w:rPr>
              <w:t>项目</w:t>
            </w:r>
          </w:p>
        </w:tc>
        <w:tc>
          <w:tcPr>
            <w:tcW w:w="2288" w:type="dxa"/>
            <w:noWrap w:val="0"/>
            <w:vAlign w:val="top"/>
          </w:tcPr>
          <w:p>
            <w:pPr>
              <w:autoSpaceDE w:val="0"/>
              <w:autoSpaceDN w:val="0"/>
              <w:adjustRightInd w:val="0"/>
              <w:jc w:val="center"/>
              <w:rPr>
                <w:rFonts w:hint="eastAsia"/>
                <w:kern w:val="0"/>
              </w:rPr>
            </w:pPr>
            <w:r>
              <w:rPr>
                <w:rFonts w:hint="eastAsia"/>
                <w:kern w:val="0"/>
              </w:rPr>
              <w:t>现在期限（30天）</w:t>
            </w:r>
          </w:p>
        </w:tc>
        <w:tc>
          <w:tcPr>
            <w:tcW w:w="2118" w:type="dxa"/>
            <w:noWrap w:val="0"/>
            <w:vAlign w:val="top"/>
          </w:tcPr>
          <w:p>
            <w:pPr>
              <w:autoSpaceDE w:val="0"/>
              <w:autoSpaceDN w:val="0"/>
              <w:adjustRightInd w:val="0"/>
              <w:jc w:val="center"/>
              <w:rPr>
                <w:rFonts w:hint="eastAsia"/>
                <w:kern w:val="0"/>
              </w:rPr>
            </w:pPr>
            <w:r>
              <w:rPr>
                <w:rFonts w:hint="eastAsia"/>
                <w:kern w:val="0"/>
              </w:rPr>
              <w:t>新方案（45天）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3045" w:type="dxa"/>
            <w:noWrap w:val="0"/>
            <w:vAlign w:val="top"/>
          </w:tcPr>
          <w:p>
            <w:pPr>
              <w:autoSpaceDE w:val="0"/>
              <w:autoSpaceDN w:val="0"/>
              <w:adjustRightInd w:val="0"/>
              <w:jc w:val="center"/>
              <w:rPr>
                <w:rFonts w:hint="eastAsia"/>
                <w:kern w:val="0"/>
              </w:rPr>
            </w:pPr>
            <w:r>
              <w:rPr>
                <w:rFonts w:hint="eastAsia"/>
                <w:kern w:val="0"/>
              </w:rPr>
              <w:t>销售数量（件）</w:t>
            </w:r>
          </w:p>
        </w:tc>
        <w:tc>
          <w:tcPr>
            <w:tcW w:w="2288" w:type="dxa"/>
            <w:noWrap w:val="0"/>
            <w:vAlign w:val="top"/>
          </w:tcPr>
          <w:p>
            <w:pPr>
              <w:autoSpaceDE w:val="0"/>
              <w:autoSpaceDN w:val="0"/>
              <w:adjustRightInd w:val="0"/>
              <w:jc w:val="center"/>
              <w:rPr>
                <w:rFonts w:hint="eastAsia"/>
                <w:kern w:val="0"/>
              </w:rPr>
            </w:pPr>
            <w:r>
              <w:rPr>
                <w:rFonts w:hint="eastAsia"/>
                <w:kern w:val="0"/>
              </w:rPr>
              <w:t>40000</w:t>
            </w:r>
          </w:p>
        </w:tc>
        <w:tc>
          <w:tcPr>
            <w:tcW w:w="2118" w:type="dxa"/>
            <w:noWrap w:val="0"/>
            <w:vAlign w:val="top"/>
          </w:tcPr>
          <w:p>
            <w:pPr>
              <w:autoSpaceDE w:val="0"/>
              <w:autoSpaceDN w:val="0"/>
              <w:adjustRightInd w:val="0"/>
              <w:jc w:val="center"/>
              <w:rPr>
                <w:rFonts w:hint="eastAsia"/>
                <w:kern w:val="0"/>
              </w:rPr>
            </w:pPr>
            <w:r>
              <w:rPr>
                <w:rFonts w:hint="eastAsia"/>
                <w:kern w:val="0"/>
              </w:rPr>
              <w:t>44000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3045" w:type="dxa"/>
            <w:noWrap w:val="0"/>
            <w:vAlign w:val="top"/>
          </w:tcPr>
          <w:p>
            <w:pPr>
              <w:autoSpaceDE w:val="0"/>
              <w:autoSpaceDN w:val="0"/>
              <w:adjustRightInd w:val="0"/>
              <w:jc w:val="center"/>
              <w:rPr>
                <w:rFonts w:hint="eastAsia"/>
                <w:kern w:val="0"/>
              </w:rPr>
            </w:pPr>
            <w:r>
              <w:rPr>
                <w:rFonts w:hint="eastAsia"/>
                <w:kern w:val="0"/>
              </w:rPr>
              <w:t>销售收入（单价10元）</w:t>
            </w:r>
          </w:p>
        </w:tc>
        <w:tc>
          <w:tcPr>
            <w:tcW w:w="2288" w:type="dxa"/>
            <w:noWrap w:val="0"/>
            <w:vAlign w:val="top"/>
          </w:tcPr>
          <w:p>
            <w:pPr>
              <w:autoSpaceDE w:val="0"/>
              <w:autoSpaceDN w:val="0"/>
              <w:adjustRightInd w:val="0"/>
              <w:jc w:val="center"/>
              <w:rPr>
                <w:rFonts w:hint="eastAsia"/>
                <w:kern w:val="0"/>
              </w:rPr>
            </w:pPr>
            <w:r>
              <w:rPr>
                <w:rFonts w:hint="eastAsia"/>
                <w:kern w:val="0"/>
              </w:rPr>
              <w:t>400000</w:t>
            </w:r>
          </w:p>
        </w:tc>
        <w:tc>
          <w:tcPr>
            <w:tcW w:w="2118" w:type="dxa"/>
            <w:noWrap w:val="0"/>
            <w:vAlign w:val="top"/>
          </w:tcPr>
          <w:p>
            <w:pPr>
              <w:autoSpaceDE w:val="0"/>
              <w:autoSpaceDN w:val="0"/>
              <w:adjustRightInd w:val="0"/>
              <w:jc w:val="center"/>
              <w:rPr>
                <w:rFonts w:hint="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3045" w:type="dxa"/>
            <w:noWrap w:val="0"/>
            <w:vAlign w:val="top"/>
          </w:tcPr>
          <w:p>
            <w:pPr>
              <w:autoSpaceDE w:val="0"/>
              <w:autoSpaceDN w:val="0"/>
              <w:adjustRightInd w:val="0"/>
              <w:jc w:val="center"/>
              <w:rPr>
                <w:rFonts w:hint="eastAsia"/>
                <w:kern w:val="0"/>
              </w:rPr>
            </w:pPr>
            <w:r>
              <w:rPr>
                <w:rFonts w:hint="eastAsia"/>
                <w:kern w:val="0"/>
              </w:rPr>
              <w:t>变动成本（单位成本6元）</w:t>
            </w:r>
          </w:p>
        </w:tc>
        <w:tc>
          <w:tcPr>
            <w:tcW w:w="2288" w:type="dxa"/>
            <w:noWrap w:val="0"/>
            <w:vAlign w:val="top"/>
          </w:tcPr>
          <w:p>
            <w:pPr>
              <w:autoSpaceDE w:val="0"/>
              <w:autoSpaceDN w:val="0"/>
              <w:adjustRightInd w:val="0"/>
              <w:jc w:val="center"/>
              <w:rPr>
                <w:rFonts w:hint="eastAsia"/>
                <w:kern w:val="0"/>
              </w:rPr>
            </w:pPr>
            <w:r>
              <w:rPr>
                <w:rFonts w:hint="eastAsia"/>
                <w:kern w:val="0"/>
              </w:rPr>
              <w:t>240000</w:t>
            </w:r>
          </w:p>
        </w:tc>
        <w:tc>
          <w:tcPr>
            <w:tcW w:w="2118" w:type="dxa"/>
            <w:noWrap w:val="0"/>
            <w:vAlign w:val="top"/>
          </w:tcPr>
          <w:p>
            <w:pPr>
              <w:autoSpaceDE w:val="0"/>
              <w:autoSpaceDN w:val="0"/>
              <w:adjustRightInd w:val="0"/>
              <w:jc w:val="center"/>
              <w:rPr>
                <w:rFonts w:hint="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3045" w:type="dxa"/>
            <w:noWrap w:val="0"/>
            <w:vAlign w:val="top"/>
          </w:tcPr>
          <w:p>
            <w:pPr>
              <w:autoSpaceDE w:val="0"/>
              <w:autoSpaceDN w:val="0"/>
              <w:adjustRightInd w:val="0"/>
              <w:jc w:val="center"/>
              <w:rPr>
                <w:rFonts w:hint="eastAsia"/>
                <w:kern w:val="0"/>
              </w:rPr>
            </w:pPr>
            <w:r>
              <w:rPr>
                <w:rFonts w:hint="eastAsia"/>
                <w:kern w:val="0"/>
              </w:rPr>
              <w:t>固定成本（元）</w:t>
            </w:r>
          </w:p>
        </w:tc>
        <w:tc>
          <w:tcPr>
            <w:tcW w:w="2288" w:type="dxa"/>
            <w:noWrap w:val="0"/>
            <w:vAlign w:val="top"/>
          </w:tcPr>
          <w:p>
            <w:pPr>
              <w:autoSpaceDE w:val="0"/>
              <w:autoSpaceDN w:val="0"/>
              <w:adjustRightInd w:val="0"/>
              <w:jc w:val="center"/>
              <w:rPr>
                <w:rFonts w:hint="eastAsia"/>
                <w:kern w:val="0"/>
              </w:rPr>
            </w:pPr>
            <w:r>
              <w:rPr>
                <w:rFonts w:hint="eastAsia"/>
                <w:kern w:val="0"/>
              </w:rPr>
              <w:t>80000</w:t>
            </w:r>
          </w:p>
        </w:tc>
        <w:tc>
          <w:tcPr>
            <w:tcW w:w="2118" w:type="dxa"/>
            <w:noWrap w:val="0"/>
            <w:vAlign w:val="top"/>
          </w:tcPr>
          <w:p>
            <w:pPr>
              <w:autoSpaceDE w:val="0"/>
              <w:autoSpaceDN w:val="0"/>
              <w:adjustRightInd w:val="0"/>
              <w:jc w:val="center"/>
              <w:rPr>
                <w:rFonts w:hint="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3045" w:type="dxa"/>
            <w:noWrap w:val="0"/>
            <w:vAlign w:val="top"/>
          </w:tcPr>
          <w:p>
            <w:pPr>
              <w:autoSpaceDE w:val="0"/>
              <w:autoSpaceDN w:val="0"/>
              <w:adjustRightInd w:val="0"/>
              <w:jc w:val="center"/>
              <w:rPr>
                <w:rFonts w:hint="eastAsia"/>
                <w:kern w:val="0"/>
              </w:rPr>
            </w:pPr>
            <w:r>
              <w:rPr>
                <w:rFonts w:hint="eastAsia"/>
                <w:kern w:val="0"/>
              </w:rPr>
              <w:t>销售利润（元）</w:t>
            </w:r>
          </w:p>
        </w:tc>
        <w:tc>
          <w:tcPr>
            <w:tcW w:w="2288" w:type="dxa"/>
            <w:noWrap w:val="0"/>
            <w:vAlign w:val="top"/>
          </w:tcPr>
          <w:p>
            <w:pPr>
              <w:autoSpaceDE w:val="0"/>
              <w:autoSpaceDN w:val="0"/>
              <w:adjustRightInd w:val="0"/>
              <w:jc w:val="center"/>
              <w:rPr>
                <w:rFonts w:hint="eastAsia"/>
                <w:kern w:val="0"/>
              </w:rPr>
            </w:pPr>
            <w:r>
              <w:rPr>
                <w:rFonts w:hint="eastAsia"/>
                <w:kern w:val="0"/>
              </w:rPr>
              <w:t>80000</w:t>
            </w:r>
          </w:p>
        </w:tc>
        <w:tc>
          <w:tcPr>
            <w:tcW w:w="2118" w:type="dxa"/>
            <w:noWrap w:val="0"/>
            <w:vAlign w:val="top"/>
          </w:tcPr>
          <w:p>
            <w:pPr>
              <w:autoSpaceDE w:val="0"/>
              <w:autoSpaceDN w:val="0"/>
              <w:adjustRightInd w:val="0"/>
              <w:jc w:val="center"/>
              <w:rPr>
                <w:rFonts w:hint="eastAsia"/>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3045" w:type="dxa"/>
            <w:noWrap w:val="0"/>
            <w:vAlign w:val="top"/>
          </w:tcPr>
          <w:p>
            <w:pPr>
              <w:autoSpaceDE w:val="0"/>
              <w:autoSpaceDN w:val="0"/>
              <w:adjustRightInd w:val="0"/>
              <w:jc w:val="center"/>
              <w:rPr>
                <w:rFonts w:hint="eastAsia"/>
                <w:kern w:val="0"/>
              </w:rPr>
            </w:pPr>
            <w:r>
              <w:rPr>
                <w:rFonts w:hint="eastAsia"/>
                <w:kern w:val="0"/>
              </w:rPr>
              <w:t>收帐费用（元）</w:t>
            </w:r>
          </w:p>
        </w:tc>
        <w:tc>
          <w:tcPr>
            <w:tcW w:w="2288" w:type="dxa"/>
            <w:noWrap w:val="0"/>
            <w:vAlign w:val="top"/>
          </w:tcPr>
          <w:p>
            <w:pPr>
              <w:autoSpaceDE w:val="0"/>
              <w:autoSpaceDN w:val="0"/>
              <w:adjustRightInd w:val="0"/>
              <w:jc w:val="center"/>
              <w:rPr>
                <w:rFonts w:hint="eastAsia"/>
                <w:kern w:val="0"/>
              </w:rPr>
            </w:pPr>
            <w:r>
              <w:rPr>
                <w:rFonts w:hint="eastAsia"/>
                <w:kern w:val="0"/>
              </w:rPr>
              <w:t>1000</w:t>
            </w:r>
          </w:p>
        </w:tc>
        <w:tc>
          <w:tcPr>
            <w:tcW w:w="2118" w:type="dxa"/>
            <w:noWrap w:val="0"/>
            <w:vAlign w:val="top"/>
          </w:tcPr>
          <w:p>
            <w:pPr>
              <w:autoSpaceDE w:val="0"/>
              <w:autoSpaceDN w:val="0"/>
              <w:adjustRightInd w:val="0"/>
              <w:jc w:val="center"/>
              <w:rPr>
                <w:rFonts w:hint="eastAsia"/>
                <w:kern w:val="0"/>
              </w:rPr>
            </w:pPr>
            <w:r>
              <w:rPr>
                <w:rFonts w:hint="eastAsia"/>
                <w:kern w:val="0"/>
              </w:rPr>
              <w:t>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3045" w:type="dxa"/>
            <w:noWrap w:val="0"/>
            <w:vAlign w:val="top"/>
          </w:tcPr>
          <w:p>
            <w:pPr>
              <w:autoSpaceDE w:val="0"/>
              <w:autoSpaceDN w:val="0"/>
              <w:adjustRightInd w:val="0"/>
              <w:jc w:val="center"/>
              <w:rPr>
                <w:rFonts w:hint="eastAsia"/>
                <w:kern w:val="0"/>
              </w:rPr>
            </w:pPr>
            <w:r>
              <w:rPr>
                <w:rFonts w:hint="eastAsia"/>
                <w:kern w:val="0"/>
              </w:rPr>
              <w:t>坏帐损失（元）</w:t>
            </w:r>
          </w:p>
        </w:tc>
        <w:tc>
          <w:tcPr>
            <w:tcW w:w="2288" w:type="dxa"/>
            <w:noWrap w:val="0"/>
            <w:vAlign w:val="top"/>
          </w:tcPr>
          <w:p>
            <w:pPr>
              <w:autoSpaceDE w:val="0"/>
              <w:autoSpaceDN w:val="0"/>
              <w:adjustRightInd w:val="0"/>
              <w:jc w:val="center"/>
              <w:rPr>
                <w:rFonts w:hint="eastAsia"/>
                <w:kern w:val="0"/>
              </w:rPr>
            </w:pPr>
            <w:r>
              <w:rPr>
                <w:rFonts w:hint="eastAsia"/>
                <w:kern w:val="0"/>
              </w:rPr>
              <w:t>4000</w:t>
            </w:r>
          </w:p>
        </w:tc>
        <w:tc>
          <w:tcPr>
            <w:tcW w:w="2118" w:type="dxa"/>
            <w:noWrap w:val="0"/>
            <w:vAlign w:val="top"/>
          </w:tcPr>
          <w:p>
            <w:pPr>
              <w:autoSpaceDE w:val="0"/>
              <w:autoSpaceDN w:val="0"/>
              <w:adjustRightInd w:val="0"/>
              <w:jc w:val="center"/>
              <w:rPr>
                <w:rFonts w:hint="eastAsia"/>
                <w:kern w:val="0"/>
              </w:rPr>
            </w:pPr>
            <w:r>
              <w:rPr>
                <w:rFonts w:hint="eastAsia"/>
                <w:kern w:val="0"/>
              </w:rPr>
              <w:t>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3045" w:type="dxa"/>
            <w:noWrap w:val="0"/>
            <w:vAlign w:val="top"/>
          </w:tcPr>
          <w:p>
            <w:pPr>
              <w:autoSpaceDE w:val="0"/>
              <w:autoSpaceDN w:val="0"/>
              <w:adjustRightInd w:val="0"/>
              <w:jc w:val="center"/>
              <w:rPr>
                <w:rFonts w:hint="eastAsia"/>
                <w:kern w:val="0"/>
              </w:rPr>
            </w:pPr>
            <w:r>
              <w:rPr>
                <w:rFonts w:hint="eastAsia"/>
                <w:kern w:val="0"/>
              </w:rPr>
              <w:t>应收帐款平均占用额（元）</w:t>
            </w:r>
          </w:p>
        </w:tc>
        <w:tc>
          <w:tcPr>
            <w:tcW w:w="2288" w:type="dxa"/>
            <w:noWrap w:val="0"/>
            <w:vAlign w:val="top"/>
          </w:tcPr>
          <w:p>
            <w:pPr>
              <w:autoSpaceDE w:val="0"/>
              <w:autoSpaceDN w:val="0"/>
              <w:adjustRightInd w:val="0"/>
              <w:jc w:val="center"/>
              <w:rPr>
                <w:rFonts w:hint="eastAsia"/>
                <w:kern w:val="0"/>
              </w:rPr>
            </w:pPr>
            <w:r>
              <w:rPr>
                <w:rFonts w:hint="eastAsia"/>
                <w:kern w:val="0"/>
              </w:rPr>
              <w:t>33333</w:t>
            </w:r>
          </w:p>
        </w:tc>
        <w:tc>
          <w:tcPr>
            <w:tcW w:w="2118" w:type="dxa"/>
            <w:noWrap w:val="0"/>
            <w:vAlign w:val="top"/>
          </w:tcPr>
          <w:p>
            <w:pPr>
              <w:autoSpaceDE w:val="0"/>
              <w:autoSpaceDN w:val="0"/>
              <w:adjustRightInd w:val="0"/>
              <w:jc w:val="center"/>
              <w:rPr>
                <w:rFonts w:hint="eastAsia"/>
                <w:kern w:val="0"/>
              </w:rPr>
            </w:pPr>
          </w:p>
        </w:tc>
      </w:tr>
    </w:tbl>
    <w:p>
      <w:pPr>
        <w:tabs>
          <w:tab w:val="left" w:pos="735"/>
        </w:tabs>
        <w:autoSpaceDE w:val="0"/>
        <w:autoSpaceDN w:val="0"/>
        <w:adjustRightInd w:val="0"/>
        <w:jc w:val="left"/>
        <w:rPr>
          <w:rFonts w:hint="eastAsia"/>
          <w:kern w:val="0"/>
        </w:rPr>
      </w:pPr>
    </w:p>
    <w:p>
      <w:pPr>
        <w:tabs>
          <w:tab w:val="left" w:pos="735"/>
        </w:tabs>
        <w:autoSpaceDE w:val="0"/>
        <w:autoSpaceDN w:val="0"/>
        <w:adjustRightInd w:val="0"/>
        <w:jc w:val="left"/>
        <w:rPr>
          <w:rFonts w:hint="eastAsia"/>
          <w:kern w:val="0"/>
        </w:rPr>
      </w:pPr>
    </w:p>
    <w:p>
      <w:pPr>
        <w:tabs>
          <w:tab w:val="left" w:pos="735"/>
        </w:tabs>
        <w:autoSpaceDE w:val="0"/>
        <w:autoSpaceDN w:val="0"/>
        <w:adjustRightInd w:val="0"/>
        <w:jc w:val="left"/>
        <w:rPr>
          <w:rFonts w:hint="eastAsia"/>
          <w:kern w:val="0"/>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b/>
        </w:rPr>
      </w:pPr>
      <w:r>
        <w:rPr>
          <w:rFonts w:hint="eastAsia" w:ascii="宋体" w:hAnsi="宋体"/>
        </w:rPr>
        <w:t>4、某公</w:t>
      </w:r>
      <w:r>
        <w:rPr>
          <w:rFonts w:hint="eastAsia"/>
        </w:rPr>
        <w:t>司的普通股基年股利为8元，估计年股利增长率为5%，投资者期望的投资收益率为14%，打算2年以后转让出去，估计转让价格为40元。若该股票现行市价为47元。问：该投资者是否应该投资？</w:t>
      </w:r>
      <w:r>
        <w:rPr>
          <w:rFonts w:hint="eastAsia"/>
          <w:b/>
        </w:rPr>
        <w:t>（6分）</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ind w:firstLine="432"/>
        <w:rPr>
          <w:rFonts w:hint="eastAsia" w:ascii="宋体" w:hAnsi="宋体"/>
        </w:rPr>
      </w:pPr>
      <w:r>
        <w:rPr>
          <w:rFonts w:hint="eastAsia" w:ascii="宋体" w:hAnsi="宋体"/>
        </w:rPr>
        <w:t>5、已知：永昌公司有关资料如下：</w:t>
      </w:r>
    </w:p>
    <w:p>
      <w:pPr>
        <w:ind w:firstLine="432"/>
        <w:rPr>
          <w:rFonts w:hint="eastAsia"/>
        </w:rPr>
      </w:pPr>
      <w:r>
        <w:rPr>
          <w:rFonts w:hint="eastAsia"/>
        </w:rPr>
        <w:t>（1）2009年末简化资产负债表如下表所示（单位为万元）：</w:t>
      </w:r>
    </w:p>
    <w:tbl>
      <w:tblPr>
        <w:tblStyle w:val="6"/>
        <w:tblW w:w="6432" w:type="dxa"/>
        <w:tblInd w:w="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2"/>
        <w:gridCol w:w="1260"/>
        <w:gridCol w:w="198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trPr>
        <w:tc>
          <w:tcPr>
            <w:tcW w:w="1932" w:type="dxa"/>
            <w:tcBorders>
              <w:left w:val="single" w:color="auto" w:sz="4" w:space="0"/>
            </w:tcBorders>
            <w:noWrap w:val="0"/>
            <w:vAlign w:val="top"/>
          </w:tcPr>
          <w:p>
            <w:pPr>
              <w:rPr>
                <w:rFonts w:hint="eastAsia"/>
              </w:rPr>
            </w:pPr>
            <w:r>
              <w:rPr>
                <w:rFonts w:hint="eastAsia"/>
              </w:rPr>
              <w:t xml:space="preserve">   资    产</w:t>
            </w:r>
          </w:p>
        </w:tc>
        <w:tc>
          <w:tcPr>
            <w:tcW w:w="1260" w:type="dxa"/>
            <w:noWrap w:val="0"/>
            <w:vAlign w:val="top"/>
          </w:tcPr>
          <w:p>
            <w:pPr>
              <w:rPr>
                <w:rFonts w:hint="eastAsia"/>
              </w:rPr>
            </w:pPr>
            <w:r>
              <w:rPr>
                <w:rFonts w:hint="eastAsia"/>
              </w:rPr>
              <w:t>金   额</w:t>
            </w:r>
          </w:p>
        </w:tc>
        <w:tc>
          <w:tcPr>
            <w:tcW w:w="1980" w:type="dxa"/>
            <w:noWrap w:val="0"/>
            <w:vAlign w:val="top"/>
          </w:tcPr>
          <w:p>
            <w:pPr>
              <w:rPr>
                <w:rFonts w:hint="eastAsia"/>
              </w:rPr>
            </w:pPr>
            <w:r>
              <w:rPr>
                <w:rFonts w:hint="eastAsia"/>
              </w:rPr>
              <w:t>负债与所有者权益</w:t>
            </w:r>
          </w:p>
        </w:tc>
        <w:tc>
          <w:tcPr>
            <w:tcW w:w="1260" w:type="dxa"/>
            <w:tcBorders>
              <w:right w:val="single" w:color="auto" w:sz="4" w:space="0"/>
            </w:tcBorders>
            <w:noWrap w:val="0"/>
            <w:vAlign w:val="top"/>
          </w:tcPr>
          <w:p>
            <w:pPr>
              <w:rPr>
                <w:rFonts w:hint="eastAsia"/>
              </w:rPr>
            </w:pPr>
            <w:r>
              <w:rPr>
                <w:rFonts w:hint="eastAsia"/>
              </w:rPr>
              <w:t xml:space="preserve"> 金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1" w:hRule="atLeast"/>
        </w:trPr>
        <w:tc>
          <w:tcPr>
            <w:tcW w:w="1932" w:type="dxa"/>
            <w:tcBorders>
              <w:left w:val="single" w:color="auto" w:sz="4" w:space="0"/>
            </w:tcBorders>
            <w:noWrap w:val="0"/>
            <w:vAlign w:val="top"/>
          </w:tcPr>
          <w:p>
            <w:pPr>
              <w:rPr>
                <w:rFonts w:hint="eastAsia"/>
              </w:rPr>
            </w:pPr>
            <w:r>
              <w:rPr>
                <w:rFonts w:hint="eastAsia"/>
              </w:rPr>
              <w:t>现金</w:t>
            </w:r>
          </w:p>
          <w:p>
            <w:pPr>
              <w:rPr>
                <w:rFonts w:hint="eastAsia"/>
              </w:rPr>
            </w:pPr>
            <w:r>
              <w:rPr>
                <w:rFonts w:hint="eastAsia"/>
              </w:rPr>
              <w:t>应收账款</w:t>
            </w:r>
          </w:p>
          <w:p>
            <w:pPr>
              <w:rPr>
                <w:rFonts w:hint="eastAsia"/>
              </w:rPr>
            </w:pPr>
            <w:r>
              <w:rPr>
                <w:rFonts w:hint="eastAsia"/>
              </w:rPr>
              <w:t>存货</w:t>
            </w:r>
          </w:p>
          <w:p>
            <w:pPr>
              <w:rPr>
                <w:rFonts w:hint="eastAsia"/>
              </w:rPr>
            </w:pPr>
            <w:r>
              <w:rPr>
                <w:rFonts w:hint="eastAsia"/>
              </w:rPr>
              <w:t>待摊费用</w:t>
            </w:r>
          </w:p>
          <w:p>
            <w:pPr>
              <w:rPr>
                <w:rFonts w:hint="eastAsia"/>
              </w:rPr>
            </w:pPr>
            <w:r>
              <w:rPr>
                <w:rFonts w:hint="eastAsia"/>
              </w:rPr>
              <w:t>固定资产净额</w:t>
            </w:r>
          </w:p>
        </w:tc>
        <w:tc>
          <w:tcPr>
            <w:tcW w:w="1260" w:type="dxa"/>
            <w:noWrap w:val="0"/>
            <w:vAlign w:val="top"/>
          </w:tcPr>
          <w:p>
            <w:pPr>
              <w:rPr>
                <w:rFonts w:hint="eastAsia" w:ascii="宋体" w:hAnsi="宋体"/>
              </w:rPr>
            </w:pPr>
            <w:r>
              <w:rPr>
                <w:rFonts w:hint="eastAsia" w:ascii="宋体" w:hAnsi="宋体"/>
              </w:rPr>
              <w:t>30</w:t>
            </w:r>
          </w:p>
          <w:p>
            <w:pPr>
              <w:rPr>
                <w:rFonts w:hint="eastAsia" w:ascii="宋体" w:hAnsi="宋体"/>
              </w:rPr>
            </w:pPr>
            <w:r>
              <w:rPr>
                <w:rFonts w:hint="eastAsia" w:ascii="宋体" w:hAnsi="宋体"/>
              </w:rPr>
              <w:t>60</w:t>
            </w:r>
          </w:p>
          <w:p>
            <w:pPr>
              <w:rPr>
                <w:rFonts w:hint="eastAsia" w:ascii="宋体" w:hAnsi="宋体"/>
              </w:rPr>
            </w:pPr>
            <w:r>
              <w:rPr>
                <w:rFonts w:hint="eastAsia" w:ascii="宋体" w:hAnsi="宋体"/>
              </w:rPr>
              <w:t>80</w:t>
            </w:r>
          </w:p>
          <w:p>
            <w:pPr>
              <w:rPr>
                <w:rFonts w:hint="eastAsia" w:ascii="宋体" w:hAnsi="宋体"/>
              </w:rPr>
            </w:pPr>
            <w:r>
              <w:rPr>
                <w:rFonts w:hint="eastAsia" w:ascii="宋体" w:hAnsi="宋体"/>
              </w:rPr>
              <w:t>30</w:t>
            </w:r>
          </w:p>
          <w:p>
            <w:pPr>
              <w:rPr>
                <w:rFonts w:hint="eastAsia" w:ascii="宋体" w:hAnsi="宋体"/>
              </w:rPr>
            </w:pPr>
            <w:r>
              <w:rPr>
                <w:rFonts w:hint="eastAsia" w:ascii="宋体" w:hAnsi="宋体"/>
              </w:rPr>
              <w:t>300</w:t>
            </w:r>
          </w:p>
        </w:tc>
        <w:tc>
          <w:tcPr>
            <w:tcW w:w="1980" w:type="dxa"/>
            <w:noWrap w:val="0"/>
            <w:vAlign w:val="top"/>
          </w:tcPr>
          <w:p>
            <w:pPr>
              <w:rPr>
                <w:rFonts w:hint="eastAsia"/>
              </w:rPr>
            </w:pPr>
            <w:r>
              <w:rPr>
                <w:rFonts w:hint="eastAsia"/>
              </w:rPr>
              <w:t>应付票据</w:t>
            </w:r>
          </w:p>
          <w:p>
            <w:pPr>
              <w:rPr>
                <w:rFonts w:hint="eastAsia"/>
              </w:rPr>
            </w:pPr>
            <w:r>
              <w:rPr>
                <w:rFonts w:hint="eastAsia"/>
              </w:rPr>
              <w:t>应付账款</w:t>
            </w:r>
          </w:p>
          <w:p>
            <w:pPr>
              <w:rPr>
                <w:rFonts w:hint="eastAsia"/>
              </w:rPr>
            </w:pPr>
            <w:r>
              <w:rPr>
                <w:rFonts w:hint="eastAsia"/>
              </w:rPr>
              <w:t>应付工资</w:t>
            </w:r>
          </w:p>
          <w:p>
            <w:pPr>
              <w:rPr>
                <w:rFonts w:hint="eastAsia"/>
              </w:rPr>
            </w:pPr>
            <w:r>
              <w:rPr>
                <w:rFonts w:hint="eastAsia"/>
              </w:rPr>
              <w:t>长期借款</w:t>
            </w:r>
          </w:p>
          <w:p>
            <w:pPr>
              <w:rPr>
                <w:rFonts w:hint="eastAsia"/>
              </w:rPr>
            </w:pPr>
            <w:r>
              <w:rPr>
                <w:rFonts w:hint="eastAsia"/>
              </w:rPr>
              <w:t>实收资本</w:t>
            </w:r>
          </w:p>
          <w:p>
            <w:pPr>
              <w:rPr>
                <w:rFonts w:hint="eastAsia"/>
              </w:rPr>
            </w:pPr>
            <w:r>
              <w:rPr>
                <w:rFonts w:hint="eastAsia"/>
              </w:rPr>
              <w:t>未分配利润</w:t>
            </w:r>
          </w:p>
        </w:tc>
        <w:tc>
          <w:tcPr>
            <w:tcW w:w="1260" w:type="dxa"/>
            <w:tcBorders>
              <w:right w:val="single" w:color="auto" w:sz="4" w:space="0"/>
            </w:tcBorders>
            <w:noWrap w:val="0"/>
            <w:vAlign w:val="top"/>
          </w:tcPr>
          <w:p>
            <w:pPr>
              <w:rPr>
                <w:rFonts w:hint="eastAsia" w:ascii="宋体" w:hAnsi="宋体"/>
              </w:rPr>
            </w:pPr>
            <w:r>
              <w:rPr>
                <w:rFonts w:hint="eastAsia" w:ascii="宋体" w:hAnsi="宋体"/>
              </w:rPr>
              <w:t>25</w:t>
            </w:r>
          </w:p>
          <w:p>
            <w:pPr>
              <w:rPr>
                <w:rFonts w:hint="eastAsia" w:ascii="宋体" w:hAnsi="宋体"/>
              </w:rPr>
            </w:pPr>
            <w:r>
              <w:rPr>
                <w:rFonts w:hint="eastAsia" w:ascii="宋体" w:hAnsi="宋体"/>
              </w:rPr>
              <w:t>55</w:t>
            </w:r>
          </w:p>
          <w:p>
            <w:pPr>
              <w:rPr>
                <w:rFonts w:hint="eastAsia" w:ascii="宋体" w:hAnsi="宋体"/>
              </w:rPr>
            </w:pPr>
            <w:r>
              <w:rPr>
                <w:rFonts w:hint="eastAsia" w:ascii="宋体" w:hAnsi="宋体"/>
              </w:rPr>
              <w:t>10</w:t>
            </w:r>
          </w:p>
          <w:p>
            <w:pPr>
              <w:rPr>
                <w:rFonts w:hint="eastAsia" w:ascii="宋体" w:hAnsi="宋体"/>
              </w:rPr>
            </w:pPr>
            <w:r>
              <w:rPr>
                <w:rFonts w:hint="eastAsia" w:ascii="宋体" w:hAnsi="宋体"/>
              </w:rPr>
              <w:t>100</w:t>
            </w:r>
          </w:p>
          <w:p>
            <w:pPr>
              <w:rPr>
                <w:rFonts w:hint="eastAsia" w:ascii="宋体" w:hAnsi="宋体"/>
              </w:rPr>
            </w:pPr>
            <w:r>
              <w:rPr>
                <w:rFonts w:hint="eastAsia" w:ascii="宋体" w:hAnsi="宋体"/>
              </w:rPr>
              <w:t>250</w:t>
            </w:r>
          </w:p>
          <w:p>
            <w:pPr>
              <w:rPr>
                <w:rFonts w:hint="eastAsia"/>
              </w:rPr>
            </w:pPr>
            <w:r>
              <w:rPr>
                <w:rFonts w:hint="eastAsia" w:ascii="宋体" w:hAnsi="宋体"/>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932" w:type="dxa"/>
            <w:tcBorders>
              <w:left w:val="single" w:color="auto" w:sz="4" w:space="0"/>
            </w:tcBorders>
            <w:noWrap w:val="0"/>
            <w:vAlign w:val="top"/>
          </w:tcPr>
          <w:p>
            <w:pPr>
              <w:rPr>
                <w:rFonts w:hint="eastAsia"/>
              </w:rPr>
            </w:pPr>
            <w:r>
              <w:rPr>
                <w:rFonts w:hint="eastAsia"/>
              </w:rPr>
              <w:t xml:space="preserve"> 总计</w:t>
            </w:r>
          </w:p>
        </w:tc>
        <w:tc>
          <w:tcPr>
            <w:tcW w:w="1260" w:type="dxa"/>
            <w:noWrap w:val="0"/>
            <w:vAlign w:val="top"/>
          </w:tcPr>
          <w:p>
            <w:pPr>
              <w:rPr>
                <w:rFonts w:hint="eastAsia" w:ascii="宋体" w:hAnsi="宋体"/>
              </w:rPr>
            </w:pPr>
            <w:r>
              <w:rPr>
                <w:rFonts w:hint="eastAsia" w:ascii="宋体" w:hAnsi="宋体"/>
              </w:rPr>
              <w:t>500</w:t>
            </w:r>
          </w:p>
        </w:tc>
        <w:tc>
          <w:tcPr>
            <w:tcW w:w="1980" w:type="dxa"/>
            <w:noWrap w:val="0"/>
            <w:vAlign w:val="top"/>
          </w:tcPr>
          <w:p>
            <w:pPr>
              <w:rPr>
                <w:rFonts w:hint="eastAsia"/>
              </w:rPr>
            </w:pPr>
            <w:r>
              <w:rPr>
                <w:rFonts w:hint="eastAsia"/>
              </w:rPr>
              <w:t>总计</w:t>
            </w:r>
          </w:p>
        </w:tc>
        <w:tc>
          <w:tcPr>
            <w:tcW w:w="1260" w:type="dxa"/>
            <w:tcBorders>
              <w:right w:val="single" w:color="auto" w:sz="4" w:space="0"/>
            </w:tcBorders>
            <w:noWrap w:val="0"/>
            <w:vAlign w:val="top"/>
          </w:tcPr>
          <w:p>
            <w:pPr>
              <w:rPr>
                <w:rFonts w:hint="eastAsia"/>
              </w:rPr>
            </w:pPr>
            <w:r>
              <w:rPr>
                <w:rFonts w:hint="eastAsia"/>
              </w:rPr>
              <w:t>500</w:t>
            </w:r>
          </w:p>
        </w:tc>
      </w:tr>
    </w:tbl>
    <w:p>
      <w:pPr>
        <w:ind w:firstLine="432"/>
        <w:rPr>
          <w:rFonts w:hint="eastAsia"/>
        </w:rPr>
      </w:pPr>
      <w:r>
        <w:rPr>
          <w:rFonts w:hint="eastAsia"/>
        </w:rPr>
        <w:t>（2）该公司2009年度销售收入为1500万元，净利润为75万元。</w:t>
      </w:r>
    </w:p>
    <w:p>
      <w:pPr>
        <w:rPr>
          <w:rFonts w:hint="eastAsia"/>
          <w:b/>
        </w:rPr>
      </w:pPr>
      <w:r>
        <w:rPr>
          <w:rFonts w:hint="eastAsia"/>
        </w:rPr>
        <w:t>要求：（1）计算流动比率、资产负债率；（2）计算销售净利率；（3）计算总资产周转率（用年末数计算）；（4）计算权益乘数；（5）计算净资产利润率（即权益资金税后利润率）。</w:t>
      </w:r>
      <w:r>
        <w:rPr>
          <w:rFonts w:hint="eastAsia"/>
          <w:b/>
        </w:rPr>
        <w:t>（9分）</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b/>
          <w:color w:val="FF0000"/>
          <w:sz w:val="28"/>
          <w:szCs w:val="28"/>
        </w:rPr>
      </w:pPr>
      <w:r>
        <w:rPr>
          <w:rFonts w:hint="eastAsia"/>
          <w:b/>
          <w:color w:val="FF0000"/>
          <w:sz w:val="28"/>
          <w:szCs w:val="28"/>
          <w:lang w:val="en-US" w:eastAsia="zh-CN"/>
        </w:rPr>
        <w:t>复习资料参考答案</w:t>
      </w:r>
      <w:r>
        <w:rPr>
          <w:rFonts w:hint="eastAsia"/>
          <w:b/>
          <w:color w:val="FF0000"/>
          <w:sz w:val="28"/>
          <w:szCs w:val="28"/>
        </w:rPr>
        <w:t>:</w:t>
      </w:r>
    </w:p>
    <w:p>
      <w:pPr>
        <w:autoSpaceDE w:val="0"/>
        <w:autoSpaceDN w:val="0"/>
        <w:adjustRightInd w:val="0"/>
        <w:ind w:left="120"/>
        <w:jc w:val="left"/>
        <w:rPr>
          <w:rFonts w:hint="eastAsia"/>
          <w:b/>
          <w:kern w:val="0"/>
        </w:rPr>
      </w:pPr>
      <w:r>
        <w:rPr>
          <w:rFonts w:hint="eastAsia"/>
          <w:b/>
          <w:kern w:val="0"/>
        </w:rPr>
        <w:t>一、填空题 （每格0.5分，共10分）</w:t>
      </w:r>
    </w:p>
    <w:p>
      <w:pPr>
        <w:rPr>
          <w:rFonts w:hint="eastAsia"/>
        </w:rPr>
      </w:pPr>
      <w:r>
        <w:rPr>
          <w:rFonts w:hint="eastAsia"/>
        </w:rPr>
        <w:t>1、筹资、投资、利润分配。</w:t>
      </w:r>
    </w:p>
    <w:p>
      <w:pPr>
        <w:rPr>
          <w:rFonts w:hint="eastAsia"/>
        </w:rPr>
      </w:pPr>
      <w:r>
        <w:rPr>
          <w:rFonts w:hint="eastAsia"/>
        </w:rPr>
        <w:t>2、系统原则、平衡原则、弹性原则、比例原则等。</w:t>
      </w:r>
    </w:p>
    <w:p>
      <w:pPr>
        <w:rPr>
          <w:rFonts w:hint="eastAsia"/>
        </w:rPr>
      </w:pPr>
      <w:r>
        <w:rPr>
          <w:rFonts w:hint="eastAsia"/>
        </w:rPr>
        <w:t>3、比较资金成本法、每股利润无差别点法、公司价值分析法。</w:t>
      </w:r>
    </w:p>
    <w:p>
      <w:pPr>
        <w:rPr>
          <w:rFonts w:hint="eastAsia"/>
        </w:rPr>
      </w:pPr>
    </w:p>
    <w:p>
      <w:pPr>
        <w:rPr>
          <w:rFonts w:hint="eastAsia"/>
        </w:rPr>
      </w:pPr>
    </w:p>
    <w:p>
      <w:pPr>
        <w:rPr>
          <w:rFonts w:hint="eastAsia"/>
        </w:rPr>
      </w:pPr>
      <w:r>
        <w:rPr>
          <w:rFonts w:hint="eastAsia"/>
          <w:b/>
          <w:kern w:val="0"/>
        </w:rPr>
        <w:t>二、单项选择题：（每题</w:t>
      </w:r>
      <w:r>
        <w:rPr>
          <w:b/>
          <w:kern w:val="0"/>
        </w:rPr>
        <w:t>1.5</w:t>
      </w:r>
      <w:r>
        <w:rPr>
          <w:rFonts w:hint="eastAsia"/>
          <w:b/>
          <w:kern w:val="0"/>
        </w:rPr>
        <w:t>分，共</w:t>
      </w:r>
      <w:r>
        <w:rPr>
          <w:b/>
          <w:kern w:val="0"/>
        </w:rPr>
        <w:t>9</w:t>
      </w:r>
      <w:r>
        <w:rPr>
          <w:rFonts w:hint="eastAsia"/>
          <w:b/>
          <w:kern w:val="0"/>
        </w:rPr>
        <w:t>分）</w:t>
      </w:r>
    </w:p>
    <w:p>
      <w:pPr>
        <w:rPr>
          <w:rFonts w:hint="eastAsia"/>
        </w:rPr>
      </w:pPr>
      <w:r>
        <w:rPr>
          <w:rFonts w:hint="eastAsia"/>
        </w:rPr>
        <w:t xml:space="preserve">1．D    2.A    3.B    </w:t>
      </w:r>
    </w:p>
    <w:p>
      <w:pPr>
        <w:rPr>
          <w:rFonts w:hint="eastAsia"/>
        </w:rPr>
      </w:pPr>
    </w:p>
    <w:p>
      <w:pPr>
        <w:numPr>
          <w:ilvl w:val="0"/>
          <w:numId w:val="3"/>
        </w:numPr>
        <w:rPr>
          <w:b/>
        </w:rPr>
      </w:pPr>
      <w:r>
        <w:rPr>
          <w:rFonts w:hint="eastAsia"/>
          <w:b/>
        </w:rPr>
        <w:t>多项选择题（每小题2分，共16分 ）</w:t>
      </w:r>
    </w:p>
    <w:p>
      <w:pPr>
        <w:rPr>
          <w:rFonts w:hint="eastAsia"/>
        </w:rPr>
      </w:pPr>
      <w:r>
        <w:t>1.</w:t>
      </w:r>
      <w:r>
        <w:rPr>
          <w:rFonts w:hint="eastAsia"/>
        </w:rPr>
        <w:t xml:space="preserve">ABE    2.BC    3.ABD    4.AD    </w:t>
      </w:r>
    </w:p>
    <w:p>
      <w:pPr>
        <w:rPr>
          <w:rFonts w:hint="eastAsia"/>
        </w:rPr>
      </w:pPr>
    </w:p>
    <w:p>
      <w:pPr>
        <w:numPr>
          <w:ilvl w:val="0"/>
          <w:numId w:val="3"/>
        </w:numPr>
        <w:rPr>
          <w:rFonts w:hint="eastAsia"/>
          <w:b/>
        </w:rPr>
      </w:pPr>
      <w:r>
        <w:rPr>
          <w:rFonts w:hint="eastAsia"/>
          <w:b/>
        </w:rPr>
        <w:t>判断并改错题（每小题2分，共14分）</w:t>
      </w:r>
    </w:p>
    <w:p>
      <w:pPr>
        <w:numPr>
          <w:ilvl w:val="2"/>
          <w:numId w:val="3"/>
        </w:numPr>
        <w:rPr>
          <w:rFonts w:hint="eastAsia"/>
        </w:rPr>
      </w:pPr>
      <w:r>
        <w:rPr>
          <w:rFonts w:hint="eastAsia"/>
        </w:rPr>
        <w:t>错；“越大”改为“越小”</w:t>
      </w:r>
    </w:p>
    <w:p>
      <w:pPr>
        <w:numPr>
          <w:ilvl w:val="2"/>
          <w:numId w:val="3"/>
        </w:numPr>
        <w:rPr>
          <w:rFonts w:hint="eastAsia"/>
        </w:rPr>
      </w:pPr>
      <w:r>
        <w:rPr>
          <w:rFonts w:hint="eastAsia"/>
        </w:rPr>
        <w:t>错；“占用越少越好”改为“不是越少越好，会影响销售”</w:t>
      </w:r>
    </w:p>
    <w:p>
      <w:pPr>
        <w:numPr>
          <w:ilvl w:val="2"/>
          <w:numId w:val="3"/>
        </w:numPr>
        <w:rPr>
          <w:rFonts w:hint="eastAsia"/>
        </w:rPr>
      </w:pPr>
      <w:r>
        <w:rPr>
          <w:rFonts w:hint="eastAsia"/>
        </w:rPr>
        <w:t>错；“投资组合的报酬”改为“投资组合的风险报酬”</w:t>
      </w:r>
    </w:p>
    <w:p>
      <w:pPr>
        <w:ind w:left="840"/>
        <w:rPr>
          <w:rFonts w:hint="eastAsia"/>
        </w:rPr>
      </w:pPr>
    </w:p>
    <w:p>
      <w:pPr>
        <w:rPr>
          <w:rFonts w:hint="eastAsia"/>
          <w:b/>
        </w:rPr>
      </w:pPr>
      <w:r>
        <w:rPr>
          <w:rFonts w:hint="eastAsia"/>
          <w:b/>
        </w:rPr>
        <w:t>五、简答题（每题5分，共10分）</w:t>
      </w:r>
    </w:p>
    <w:p>
      <w:pPr>
        <w:numPr>
          <w:ilvl w:val="0"/>
          <w:numId w:val="4"/>
        </w:numPr>
        <w:rPr>
          <w:rFonts w:hint="eastAsia"/>
        </w:rPr>
      </w:pPr>
      <w:r>
        <w:rPr>
          <w:rFonts w:hint="eastAsia"/>
          <w:lang w:eastAsia="zh-CN"/>
        </w:rPr>
        <w:t>答：</w:t>
      </w:r>
      <w:r>
        <w:rPr>
          <w:rFonts w:hint="eastAsia"/>
        </w:rPr>
        <w:t>信用政策也称赊销政策，它是企业财务政策的重要组成部分。企业信用政策一般包括信用标准、作用条件、收帐政策三部分。（1分）信用标准是企业同意向客户提供商业信用时客户应具备的条件。（1分）信用条件是企业要求客户支付赊销款项的条件，它由信用期限、折扣期限和现金折扣率等要素组成。（1分）收帐政策是指企业向客户收取逾期未付的应收款项的方法和程序。（1分）信用政策的制定一般遵循成本效益原则。（1分）</w:t>
      </w:r>
    </w:p>
    <w:p>
      <w:pPr>
        <w:rPr>
          <w:rFonts w:hint="eastAsia"/>
        </w:rPr>
      </w:pPr>
    </w:p>
    <w:p>
      <w:pPr>
        <w:rPr>
          <w:rFonts w:hint="eastAsia"/>
        </w:rPr>
      </w:pPr>
    </w:p>
    <w:p>
      <w:pPr>
        <w:rPr>
          <w:rFonts w:hint="eastAsia"/>
          <w:b/>
        </w:rPr>
      </w:pPr>
      <w:r>
        <w:rPr>
          <w:rFonts w:hint="eastAsia"/>
          <w:b/>
        </w:rPr>
        <w:t>六、计算分析题（41分）</w:t>
      </w:r>
    </w:p>
    <w:p>
      <w:pPr>
        <w:ind w:firstLine="420"/>
        <w:rPr>
          <w:rFonts w:hint="eastAsia"/>
        </w:rPr>
      </w:pPr>
      <w:r>
        <w:rPr>
          <w:rFonts w:hint="eastAsia"/>
        </w:rPr>
        <w:t>1．</w:t>
      </w:r>
      <w:r>
        <w:rPr>
          <w:rFonts w:hint="eastAsia"/>
          <w:lang w:eastAsia="zh-CN"/>
        </w:rPr>
        <w:t>答：</w:t>
      </w:r>
    </w:p>
    <w:p>
      <w:pPr>
        <w:ind w:firstLine="420"/>
        <w:rPr>
          <w:rFonts w:hint="eastAsia"/>
        </w:rPr>
      </w:pPr>
      <w:r>
        <w:rPr>
          <w:rFonts w:hint="eastAsia"/>
        </w:rPr>
        <w:t>（1）2003年年初投资额的复利终值：100000（1+12%）</w:t>
      </w:r>
      <w:r>
        <w:rPr>
          <w:rFonts w:hint="eastAsia"/>
          <w:vertAlign w:val="superscript"/>
        </w:rPr>
        <w:t>2</w:t>
      </w:r>
      <w:r>
        <w:rPr>
          <w:rFonts w:hint="eastAsia"/>
        </w:rPr>
        <w:t xml:space="preserve"> = 125400元</w:t>
      </w:r>
    </w:p>
    <w:p>
      <w:pPr>
        <w:ind w:firstLine="420"/>
        <w:jc w:val="left"/>
        <w:rPr>
          <w:rFonts w:hint="eastAsia"/>
        </w:rPr>
      </w:pPr>
      <w:r>
        <w:rPr>
          <w:rFonts w:hint="eastAsia"/>
        </w:rPr>
        <w:t>（2）2003年年初各年预期收益的现值之和：</w:t>
      </w:r>
    </w:p>
    <w:p>
      <w:pPr>
        <w:ind w:firstLine="573" w:firstLineChars="300"/>
        <w:jc w:val="left"/>
        <w:rPr>
          <w:rFonts w:hint="eastAsia"/>
        </w:rPr>
      </w:pPr>
      <w:r>
        <w:rPr>
          <w:rFonts w:hint="eastAsia"/>
        </w:rPr>
        <w:t>20000/（1+12%）+40000/（1+12%）</w:t>
      </w:r>
      <w:r>
        <w:rPr>
          <w:rFonts w:hint="eastAsia"/>
          <w:vertAlign w:val="superscript"/>
        </w:rPr>
        <w:t>2</w:t>
      </w:r>
      <w:r>
        <w:rPr>
          <w:rFonts w:hint="eastAsia"/>
        </w:rPr>
        <w:t xml:space="preserve"> +60000/（1+12）</w:t>
      </w:r>
      <w:r>
        <w:rPr>
          <w:rFonts w:hint="eastAsia"/>
          <w:vertAlign w:val="superscript"/>
        </w:rPr>
        <w:t>3</w:t>
      </w:r>
      <w:r>
        <w:rPr>
          <w:rFonts w:hint="eastAsia"/>
        </w:rPr>
        <w:t xml:space="preserve"> =17857.14+31887.76+42706.81</w:t>
      </w:r>
    </w:p>
    <w:p>
      <w:pPr>
        <w:ind w:firstLine="562" w:firstLineChars="294"/>
        <w:rPr>
          <w:rFonts w:hint="eastAsia"/>
        </w:rPr>
      </w:pPr>
      <w:r>
        <w:rPr>
          <w:rFonts w:hint="eastAsia"/>
        </w:rPr>
        <w:t>=92451.71元</w:t>
      </w:r>
      <w:bookmarkStart w:id="0" w:name="_GoBack"/>
      <w:bookmarkEnd w:id="0"/>
    </w:p>
    <w:p>
      <w:pPr>
        <w:rPr>
          <w:rFonts w:hint="eastAsia"/>
        </w:rPr>
      </w:pPr>
    </w:p>
    <w:p>
      <w:pPr>
        <w:ind w:left="360"/>
        <w:rPr>
          <w:rFonts w:hint="eastAsia"/>
        </w:rPr>
      </w:pPr>
    </w:p>
    <w:p>
      <w:pPr>
        <w:rPr>
          <w:rFonts w:hint="eastAsia"/>
        </w:rPr>
      </w:pPr>
      <w:r>
        <w:rPr>
          <w:rFonts w:hint="eastAsia"/>
        </w:rPr>
        <w:t>3、</w:t>
      </w:r>
      <w:r>
        <w:rPr>
          <w:rFonts w:hint="eastAsia"/>
          <w:lang w:eastAsia="zh-CN"/>
        </w:rPr>
        <w:t>答：</w:t>
      </w:r>
      <w:r>
        <w:rPr>
          <w:rFonts w:hint="eastAsia"/>
        </w:rPr>
        <w:t>增加的收益=16000</w:t>
      </w:r>
    </w:p>
    <w:p>
      <w:pPr>
        <w:ind w:left="360"/>
        <w:rPr>
          <w:rFonts w:hint="eastAsia"/>
        </w:rPr>
      </w:pPr>
      <w:r>
        <w:rPr>
          <w:rFonts w:hint="eastAsia"/>
        </w:rPr>
        <w:t>增加的收帐费用=500</w:t>
      </w:r>
    </w:p>
    <w:p>
      <w:pPr>
        <w:ind w:left="360"/>
        <w:rPr>
          <w:rFonts w:hint="eastAsia"/>
        </w:rPr>
      </w:pPr>
      <w:r>
        <w:rPr>
          <w:rFonts w:hint="eastAsia"/>
        </w:rPr>
        <w:t>增加的坏帐损失=2600</w:t>
      </w:r>
    </w:p>
    <w:p>
      <w:pPr>
        <w:ind w:left="360"/>
        <w:rPr>
          <w:rFonts w:hint="eastAsia"/>
        </w:rPr>
      </w:pPr>
      <w:r>
        <w:rPr>
          <w:rFonts w:hint="eastAsia"/>
        </w:rPr>
        <w:t>增加的机会成本=2166.7</w:t>
      </w:r>
    </w:p>
    <w:p>
      <w:pPr>
        <w:rPr>
          <w:rFonts w:hint="eastAsia"/>
        </w:rPr>
      </w:pPr>
      <w:r>
        <w:rPr>
          <w:rFonts w:hint="eastAsia"/>
        </w:rPr>
        <w:t xml:space="preserve">    增加的净收益=10733.3</w:t>
      </w:r>
    </w:p>
    <w:p>
      <w:pPr>
        <w:ind w:firstLine="420"/>
        <w:rPr>
          <w:rFonts w:hint="eastAsia"/>
        </w:rPr>
      </w:pPr>
      <w:r>
        <w:rPr>
          <w:rFonts w:hint="eastAsia"/>
        </w:rPr>
        <w:t>判断方案可行</w:t>
      </w:r>
    </w:p>
    <w:p>
      <w:pPr>
        <w:rPr>
          <w:rFonts w:hint="eastAsia"/>
        </w:rPr>
      </w:pPr>
    </w:p>
    <w:p>
      <w:pPr>
        <w:jc w:val="left"/>
        <w:rPr>
          <w:rFonts w:hint="eastAsia"/>
        </w:rPr>
      </w:pPr>
      <w:r>
        <w:rPr>
          <w:rFonts w:hint="eastAsia"/>
        </w:rPr>
        <w:t>4、</w:t>
      </w:r>
      <w:r>
        <w:rPr>
          <w:rFonts w:hint="eastAsia"/>
          <w:lang w:eastAsia="zh-CN"/>
        </w:rPr>
        <w:t>答：</w:t>
      </w:r>
      <w:r>
        <w:rPr>
          <w:rFonts w:hint="eastAsia"/>
        </w:rPr>
        <w:t>投资价值=8(1+5%)/(1+14%)+8(1+5%)</w:t>
      </w:r>
      <w:r>
        <w:rPr>
          <w:rFonts w:hint="eastAsia"/>
          <w:vertAlign w:val="superscript"/>
        </w:rPr>
        <w:t>2</w:t>
      </w:r>
      <w:r>
        <w:rPr>
          <w:rFonts w:hint="eastAsia"/>
        </w:rPr>
        <w:t>/(1+14%)</w:t>
      </w:r>
      <w:r>
        <w:rPr>
          <w:rFonts w:hint="eastAsia"/>
          <w:vertAlign w:val="superscript"/>
        </w:rPr>
        <w:t>2</w:t>
      </w:r>
      <w:r>
        <w:rPr>
          <w:rFonts w:hint="eastAsia"/>
        </w:rPr>
        <w:t>+40/(1+14%)</w:t>
      </w:r>
      <w:r>
        <w:rPr>
          <w:rFonts w:hint="eastAsia"/>
          <w:vertAlign w:val="superscript"/>
        </w:rPr>
        <w:t>2</w:t>
      </w:r>
    </w:p>
    <w:p>
      <w:pPr>
        <w:ind w:firstLine="432"/>
        <w:jc w:val="left"/>
        <w:rPr>
          <w:rFonts w:hint="eastAsia"/>
        </w:rPr>
      </w:pPr>
      <w:r>
        <w:rPr>
          <w:rFonts w:hint="eastAsia"/>
        </w:rPr>
        <w:t xml:space="preserve">          =7.37+8.82/1.2996+40/1.2996=7.37+6.79+30.78=44.94元。</w:t>
      </w:r>
    </w:p>
    <w:p>
      <w:pPr>
        <w:rPr>
          <w:rFonts w:hint="eastAsia"/>
        </w:rPr>
      </w:pPr>
      <w:r>
        <w:rPr>
          <w:rFonts w:hint="eastAsia"/>
        </w:rPr>
        <w:t>由于投资价值小于现行股票市价,所以不能进行投资。</w:t>
      </w:r>
    </w:p>
    <w:p>
      <w:pPr>
        <w:rPr>
          <w:rFonts w:hint="eastAsia"/>
        </w:rPr>
      </w:pPr>
    </w:p>
    <w:p>
      <w:pPr>
        <w:jc w:val="left"/>
        <w:rPr>
          <w:rFonts w:hint="eastAsia" w:ascii="宋体" w:hAnsi="宋体"/>
        </w:rPr>
      </w:pPr>
      <w:r>
        <w:rPr>
          <w:rFonts w:hint="eastAsia"/>
          <w:b/>
        </w:rPr>
        <w:t>5、</w:t>
      </w:r>
      <w:r>
        <w:rPr>
          <w:rFonts w:hint="eastAsia"/>
          <w:lang w:eastAsia="zh-CN"/>
        </w:rPr>
        <w:t>答：</w:t>
      </w:r>
      <w:r>
        <w:rPr>
          <w:rFonts w:hint="eastAsia" w:ascii="宋体" w:hAnsi="宋体"/>
        </w:rPr>
        <w:t>（1）流动比率=（30+60+80+30）/（25+55+10）=200/90=2.22</w:t>
      </w:r>
    </w:p>
    <w:p>
      <w:pPr>
        <w:ind w:firstLine="432"/>
        <w:jc w:val="left"/>
        <w:rPr>
          <w:rFonts w:hint="eastAsia" w:ascii="宋体" w:hAnsi="宋体"/>
        </w:rPr>
      </w:pPr>
      <w:r>
        <w:rPr>
          <w:rFonts w:hint="eastAsia" w:ascii="宋体" w:hAnsi="宋体"/>
        </w:rPr>
        <w:t xml:space="preserve">  资产负债率=(25+55+10+100)/500=38%</w:t>
      </w:r>
    </w:p>
    <w:p>
      <w:pPr>
        <w:ind w:firstLine="581" w:firstLineChars="304"/>
        <w:jc w:val="left"/>
        <w:rPr>
          <w:rFonts w:hint="eastAsia" w:ascii="宋体" w:hAnsi="宋体"/>
        </w:rPr>
      </w:pPr>
      <w:r>
        <w:rPr>
          <w:rFonts w:hint="eastAsia" w:ascii="宋体" w:hAnsi="宋体"/>
        </w:rPr>
        <w:t>(2)销售净利率=75/1500=5%</w:t>
      </w:r>
    </w:p>
    <w:p>
      <w:pPr>
        <w:ind w:firstLine="581" w:firstLineChars="304"/>
        <w:jc w:val="left"/>
        <w:rPr>
          <w:rFonts w:hint="eastAsia" w:ascii="宋体" w:hAnsi="宋体"/>
        </w:rPr>
      </w:pPr>
      <w:r>
        <w:rPr>
          <w:rFonts w:hint="eastAsia" w:ascii="宋体" w:hAnsi="宋体"/>
        </w:rPr>
        <w:t>(3)总资产周转率=1500/500=3次</w:t>
      </w:r>
    </w:p>
    <w:p>
      <w:pPr>
        <w:ind w:firstLine="581" w:firstLineChars="304"/>
        <w:jc w:val="left"/>
        <w:rPr>
          <w:rFonts w:hint="eastAsia" w:ascii="宋体" w:hAnsi="宋体"/>
        </w:rPr>
      </w:pPr>
      <w:r>
        <w:rPr>
          <w:rFonts w:hint="eastAsia" w:ascii="宋体" w:hAnsi="宋体"/>
        </w:rPr>
        <w:t>(4)权益乘数=500/310=1.613</w:t>
      </w:r>
    </w:p>
    <w:p>
      <w:pPr>
        <w:ind w:firstLine="581" w:firstLineChars="304"/>
        <w:jc w:val="left"/>
        <w:rPr>
          <w:rFonts w:hint="eastAsia"/>
        </w:rPr>
      </w:pPr>
      <w:r>
        <w:rPr>
          <w:rFonts w:hint="eastAsia" w:ascii="宋体" w:hAnsi="宋体"/>
        </w:rPr>
        <w:t>(5)净资产收益率=75/310=24.19%</w:t>
      </w:r>
    </w:p>
    <w:p>
      <w:pPr>
        <w:rPr>
          <w:rFonts w:hint="eastAsia"/>
        </w:rPr>
      </w:pPr>
    </w:p>
    <w:p>
      <w:pPr>
        <w:rPr>
          <w:rFonts w:hint="eastAsia"/>
        </w:rPr>
      </w:pPr>
    </w:p>
    <w:p>
      <w:pPr>
        <w:rPr>
          <w:rFonts w:hint="default"/>
          <w:lang w:val="en-US" w:eastAsia="zh-CN"/>
        </w:rPr>
      </w:pPr>
    </w:p>
    <w:sectPr>
      <w:headerReference r:id="rId3" w:type="default"/>
      <w:footerReference r:id="rId4" w:type="default"/>
      <w:pgSz w:w="11850" w:h="16783"/>
      <w:pgMar w:top="1134" w:right="1418" w:bottom="2552" w:left="1134" w:header="851" w:footer="992" w:gutter="0"/>
      <w:cols w:space="425" w:num="1"/>
      <w:docGrid w:type="linesAndChars" w:linePitch="289" w:charSpace="-39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18918" w:type="dxa"/>
      <w:tblInd w:w="0" w:type="dxa"/>
      <w:tblLayout w:type="fixed"/>
      <w:tblCellMar>
        <w:top w:w="0" w:type="dxa"/>
        <w:left w:w="108" w:type="dxa"/>
        <w:bottom w:w="0" w:type="dxa"/>
        <w:right w:w="108" w:type="dxa"/>
      </w:tblCellMar>
    </w:tblPr>
    <w:tblGrid>
      <w:gridCol w:w="9513"/>
      <w:gridCol w:w="9405"/>
    </w:tblGrid>
    <w:tr>
      <w:tblPrEx>
        <w:tblLayout w:type="fixed"/>
        <w:tblCellMar>
          <w:top w:w="0" w:type="dxa"/>
          <w:left w:w="108" w:type="dxa"/>
          <w:bottom w:w="0" w:type="dxa"/>
          <w:right w:w="108" w:type="dxa"/>
        </w:tblCellMar>
      </w:tblPrEx>
      <w:tc>
        <w:tcPr>
          <w:tcW w:w="9513" w:type="dxa"/>
          <w:noWrap w:val="0"/>
          <w:vAlign w:val="top"/>
        </w:tcPr>
        <w:p>
          <w:pPr>
            <w:pStyle w:val="3"/>
            <w:tabs>
              <w:tab w:val="clear" w:pos="4153"/>
              <w:tab w:val="clear" w:pos="8306"/>
            </w:tabs>
            <w:jc w:val="center"/>
            <w:rPr>
              <w:rFonts w:hint="eastAsia" w:eastAsia="黑体"/>
              <w:b/>
            </w:rPr>
          </w:pPr>
        </w:p>
      </w:tc>
      <w:tc>
        <w:tcPr>
          <w:tcW w:w="9405" w:type="dxa"/>
          <w:noWrap w:val="0"/>
          <w:vAlign w:val="top"/>
        </w:tcPr>
        <w:p>
          <w:pPr>
            <w:pStyle w:val="3"/>
            <w:tabs>
              <w:tab w:val="clear" w:pos="4153"/>
              <w:tab w:val="clear" w:pos="8306"/>
            </w:tabs>
            <w:jc w:val="center"/>
            <w:rPr>
              <w:rFonts w:hint="eastAsia" w:ascii="Courier New" w:hAnsi="Courier New" w:eastAsia="黑体"/>
              <w:b/>
            </w:rPr>
          </w:pPr>
        </w:p>
      </w:tc>
    </w:tr>
  </w:tbl>
  <w:p>
    <w:pPr>
      <w:pStyle w:val="3"/>
      <w:tabs>
        <w:tab w:val="right" w:pos="7125"/>
        <w:tab w:val="center" w:pos="11875"/>
        <w:tab w:val="clear" w:pos="4153"/>
        <w:tab w:val="clear" w:pos="8306"/>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0" allowOverlap="1">
              <wp:simplePos x="0" y="0"/>
              <wp:positionH relativeFrom="column">
                <wp:posOffset>5851525</wp:posOffset>
              </wp:positionH>
              <wp:positionV relativeFrom="paragraph">
                <wp:posOffset>179705</wp:posOffset>
              </wp:positionV>
              <wp:extent cx="0" cy="8074660"/>
              <wp:effectExtent l="4445" t="0" r="14605" b="2540"/>
              <wp:wrapNone/>
              <wp:docPr id="2" name="直接连接符 2"/>
              <wp:cNvGraphicFramePr/>
              <a:graphic xmlns:a="http://schemas.openxmlformats.org/drawingml/2006/main">
                <a:graphicData uri="http://schemas.microsoft.com/office/word/2010/wordprocessingShape">
                  <wps:wsp>
                    <wps:cNvCnPr/>
                    <wps:spPr>
                      <a:xfrm>
                        <a:off x="0" y="0"/>
                        <a:ext cx="0" cy="80746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60.75pt;margin-top:14.15pt;height:635.8pt;width:0pt;z-index:251658240;mso-width-relative:page;mso-height-relative:page;" filled="f" stroked="t" coordsize="21600,21600" o:allowincell="f" o:gfxdata="UEsDBAoAAAAAAIdO4kAAAAAAAAAAAAAAAAAEAAAAZHJzL1BLAwQUAAAACACHTuJATm6DntcAAAAL&#10;AQAADwAAAGRycy9kb3ducmV2LnhtbE2PTU/DMAyG70j8h8hIXKYtaSbQWpruAPTGhQHa1WtMW9E4&#10;XZN9wK8niAMcbT96/bzl+uwGcaQp9J4NZAsFgrjxtufWwOtLPV+BCBHZ4uCZDHxSgHV1eVFiYf2J&#10;n+m4ia1IIRwKNNDFOBZShqYjh2HhR+J0e/eTw5jGqZV2wlMKd4PUSt1Khz2nDx2OdN9R87E5OAOh&#10;fqN9/TVrZmq7bD3p/cPTIxpzfZWpOxCRzvEPhh/9pA5Vctr5A9sgBgO5zm4SakCvliAS8LvYJVLn&#10;eQ6yKuX/DtU3UEsDBBQAAAAIAIdO4kCNq1rW3AEAAJYDAAAOAAAAZHJzL2Uyb0RvYy54bWytU0uO&#10;EzEQ3SNxB8t70p0WE2Za6cxiwrBBEAk4QMWfbkv+yfakk0twASR2sGLJntvMcAzK7kyGzwYhsqiU&#10;q8qv6j1XLy/3RpOdCFE529H5rKZEWOa4sn1H3729fnJOSUxgOWhnRUcPItLL1eNHy9G3onGD01wE&#10;giA2tqPv6JCSb6sqskEYiDPnhcWkdMFAwmPoKx5gRHSjq6auF9XoAvfBMREjRtdTkq4KvpSCpddS&#10;RpGI7ijOlooNxW6zrVZLaPsAflDsOAb8wxQGlMWmJ6g1JCA3Qf0BZRQLLjqZZsyZykmpmCgckM28&#10;/o3NmwG8KFxQnOhPMsX/B8te7TaBKN7RhhILBp/o7sPX2/efvn/7iPbuy2fSZJFGH1usvbKbcDxF&#10;vwmZ8V4Gk/+RC9kXYQ8nYcU+ETYFGUbP62dPF4sievVw0YeYXghnSHY6qpXNnKGF3cuYsBmW3pfk&#10;sLZk7OjFWXNGCQNcGakhoWs8koi2L3ej04pfK63zjRj67ZUOZAd5CcovU0LcX8pykzXEYaorqWk9&#10;BgH8ueUkHTzKY3GPaR7BCE6JFrj22UNAaBMo/TeV2FpbnCCrOumYva3jB3yMGx9UP6AS8zJlzuDj&#10;l3mPi5q36+dzQXr4nFY/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5ug57XAAAACwEAAA8AAAAA&#10;AAAAAQAgAAAAIgAAAGRycy9kb3ducmV2LnhtbFBLAQIUABQAAAAIAIdO4kCNq1rW3AEAAJYDAAAO&#10;AAAAAAAAAAEAIAAAACYBAABkcnMvZTJvRG9jLnhtbFBLBQYAAAAABgAGAFkBAAB0BQAAAAA=&#10;">
              <v:fill on="f" focussize="0,0"/>
              <v:stroke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B1109"/>
    <w:multiLevelType w:val="multilevel"/>
    <w:tmpl w:val="2DCB1109"/>
    <w:lvl w:ilvl="0" w:tentative="0">
      <w:start w:val="3"/>
      <w:numFmt w:val="japaneseCounting"/>
      <w:lvlText w:val="%1、"/>
      <w:lvlJc w:val="left"/>
      <w:pPr>
        <w:tabs>
          <w:tab w:val="left" w:pos="390"/>
        </w:tabs>
        <w:ind w:left="390" w:hanging="390"/>
      </w:pPr>
      <w:rPr>
        <w:rFonts w:hint="default"/>
      </w:rPr>
    </w:lvl>
    <w:lvl w:ilvl="1" w:tentative="0">
      <w:start w:val="1"/>
      <w:numFmt w:val="lowerLetter"/>
      <w:lvlText w:val="%2)"/>
      <w:lvlJc w:val="left"/>
      <w:pPr>
        <w:tabs>
          <w:tab w:val="left" w:pos="840"/>
        </w:tabs>
        <w:ind w:left="840" w:hanging="420"/>
      </w:pPr>
    </w:lvl>
    <w:lvl w:ilvl="2" w:tentative="0">
      <w:start w:val="1"/>
      <w:numFmt w:val="decimal"/>
      <w:lvlText w:val="%3、"/>
      <w:lvlJc w:val="right"/>
      <w:pPr>
        <w:tabs>
          <w:tab w:val="left" w:pos="1260"/>
        </w:tabs>
        <w:ind w:left="1260" w:hanging="420"/>
      </w:pPr>
      <w:rPr>
        <w:rFonts w:ascii="Times New Roman" w:hAnsi="Times New Roman" w:eastAsia="Times New Roman" w:cs="Times New Roman"/>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7CA733E"/>
    <w:multiLevelType w:val="multilevel"/>
    <w:tmpl w:val="37CA733E"/>
    <w:lvl w:ilvl="0" w:tentative="0">
      <w:start w:val="2"/>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B723C85"/>
    <w:multiLevelType w:val="multilevel"/>
    <w:tmpl w:val="3B723C85"/>
    <w:lvl w:ilvl="0" w:tentative="0">
      <w:start w:val="1"/>
      <w:numFmt w:val="decimal"/>
      <w:lvlText w:val="%1."/>
      <w:lvlJc w:val="left"/>
      <w:pPr>
        <w:tabs>
          <w:tab w:val="left" w:pos="360"/>
        </w:tabs>
        <w:ind w:left="360" w:hanging="360"/>
      </w:pPr>
      <w:rPr>
        <w:rFonts w:hint="eastAsia"/>
      </w:rPr>
    </w:lvl>
    <w:lvl w:ilvl="1" w:tentative="0">
      <w:start w:val="6"/>
      <w:numFmt w:val="japaneseCounting"/>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7DDA740D"/>
    <w:multiLevelType w:val="singleLevel"/>
    <w:tmpl w:val="7DDA740D"/>
    <w:lvl w:ilvl="0" w:tentative="0">
      <w:start w:val="1"/>
      <w:numFmt w:val="decimal"/>
      <w:lvlText w:val="%1．"/>
      <w:lvlJc w:val="left"/>
      <w:pPr>
        <w:tabs>
          <w:tab w:val="left" w:pos="960"/>
        </w:tabs>
        <w:ind w:left="960" w:hanging="360"/>
      </w:pPr>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362D38"/>
    <w:rsid w:val="00FA4DAD"/>
    <w:rsid w:val="01020206"/>
    <w:rsid w:val="03B934DB"/>
    <w:rsid w:val="04027C81"/>
    <w:rsid w:val="051D5B8A"/>
    <w:rsid w:val="06813A21"/>
    <w:rsid w:val="06D46327"/>
    <w:rsid w:val="08B60766"/>
    <w:rsid w:val="094929E1"/>
    <w:rsid w:val="0E44619C"/>
    <w:rsid w:val="0EA05C34"/>
    <w:rsid w:val="0FC72574"/>
    <w:rsid w:val="10D929EF"/>
    <w:rsid w:val="112A5779"/>
    <w:rsid w:val="12E2063E"/>
    <w:rsid w:val="14414DA6"/>
    <w:rsid w:val="146D5167"/>
    <w:rsid w:val="14B31C62"/>
    <w:rsid w:val="179532C6"/>
    <w:rsid w:val="17DC60A7"/>
    <w:rsid w:val="1A595377"/>
    <w:rsid w:val="1A5F714E"/>
    <w:rsid w:val="1B670D14"/>
    <w:rsid w:val="1BDE5224"/>
    <w:rsid w:val="1C4709A0"/>
    <w:rsid w:val="1D206F1E"/>
    <w:rsid w:val="1DE149D3"/>
    <w:rsid w:val="1F3D4903"/>
    <w:rsid w:val="1FCB2680"/>
    <w:rsid w:val="1FF451EE"/>
    <w:rsid w:val="21D347BE"/>
    <w:rsid w:val="228B7A9D"/>
    <w:rsid w:val="22DE3463"/>
    <w:rsid w:val="28B95B1D"/>
    <w:rsid w:val="2A333F6B"/>
    <w:rsid w:val="2A4F7E52"/>
    <w:rsid w:val="2D51059A"/>
    <w:rsid w:val="2D5B3B58"/>
    <w:rsid w:val="2D965808"/>
    <w:rsid w:val="2FC9186C"/>
    <w:rsid w:val="315154EC"/>
    <w:rsid w:val="31C13C04"/>
    <w:rsid w:val="32E87435"/>
    <w:rsid w:val="33E34C2F"/>
    <w:rsid w:val="355B3A26"/>
    <w:rsid w:val="356324BE"/>
    <w:rsid w:val="356B6CE4"/>
    <w:rsid w:val="359C7BB0"/>
    <w:rsid w:val="371C18F1"/>
    <w:rsid w:val="37C8111F"/>
    <w:rsid w:val="388E1443"/>
    <w:rsid w:val="39872195"/>
    <w:rsid w:val="3A286C5B"/>
    <w:rsid w:val="3ABE22F5"/>
    <w:rsid w:val="3C36545F"/>
    <w:rsid w:val="3E531FC2"/>
    <w:rsid w:val="3E7C6F43"/>
    <w:rsid w:val="408F46C9"/>
    <w:rsid w:val="439943CE"/>
    <w:rsid w:val="43B5033D"/>
    <w:rsid w:val="43EA007F"/>
    <w:rsid w:val="44322893"/>
    <w:rsid w:val="4528507D"/>
    <w:rsid w:val="45691CBD"/>
    <w:rsid w:val="45B9272B"/>
    <w:rsid w:val="47182FBE"/>
    <w:rsid w:val="4834469C"/>
    <w:rsid w:val="4AAC104A"/>
    <w:rsid w:val="4B84079C"/>
    <w:rsid w:val="4CD12AE4"/>
    <w:rsid w:val="4FE228D1"/>
    <w:rsid w:val="50C1689F"/>
    <w:rsid w:val="52483D98"/>
    <w:rsid w:val="53E3409F"/>
    <w:rsid w:val="543E526D"/>
    <w:rsid w:val="55BD31D7"/>
    <w:rsid w:val="56D90522"/>
    <w:rsid w:val="57663947"/>
    <w:rsid w:val="5CD951F5"/>
    <w:rsid w:val="5F765E15"/>
    <w:rsid w:val="5F8114CF"/>
    <w:rsid w:val="602C346D"/>
    <w:rsid w:val="610A2FF4"/>
    <w:rsid w:val="63D373DB"/>
    <w:rsid w:val="655312FD"/>
    <w:rsid w:val="673A4D9A"/>
    <w:rsid w:val="69052E11"/>
    <w:rsid w:val="69E575B7"/>
    <w:rsid w:val="6B4C0111"/>
    <w:rsid w:val="6BD9688B"/>
    <w:rsid w:val="6C322DC4"/>
    <w:rsid w:val="6DDA589A"/>
    <w:rsid w:val="6FB5781E"/>
    <w:rsid w:val="70160951"/>
    <w:rsid w:val="72023B46"/>
    <w:rsid w:val="72F10C27"/>
    <w:rsid w:val="73521123"/>
    <w:rsid w:val="73751F56"/>
    <w:rsid w:val="73E55F76"/>
    <w:rsid w:val="74B702E8"/>
    <w:rsid w:val="76D4214C"/>
    <w:rsid w:val="76F91788"/>
    <w:rsid w:val="772A2814"/>
    <w:rsid w:val="7836119F"/>
    <w:rsid w:val="78477E07"/>
    <w:rsid w:val="787962A0"/>
    <w:rsid w:val="79221C53"/>
    <w:rsid w:val="7C326CFE"/>
    <w:rsid w:val="7DDB61AF"/>
    <w:rsid w:val="7F071F90"/>
    <w:rsid w:val="7FFD0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2020-02-20T07:23:00Z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