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602" w:firstLineChars="200"/>
        <w:rPr>
          <w:rFonts w:hint="eastAsia" w:asciiTheme="minorEastAsia" w:hAnsiTheme="minorEastAsia" w:cstheme="minorEastAsia"/>
          <w:b/>
          <w:bCs w:val="0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b/>
          <w:bCs w:val="0"/>
          <w:sz w:val="30"/>
          <w:szCs w:val="30"/>
          <w:lang w:val="en-US" w:eastAsia="zh-CN"/>
        </w:rPr>
        <w:t>《道路勘测设计》复习资料</w:t>
      </w:r>
    </w:p>
    <w:p>
      <w:pPr>
        <w:spacing w:line="360" w:lineRule="auto"/>
        <w:ind w:firstLine="562" w:firstLineChars="20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  <w:lang w:val="en-US"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单选题（每题1.5分，共30分）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1、《公路工程技术标准》中规定的各级公路所能适应的交通量是指（   ）。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 年平均日交通量  B. 日平均小时交通量   C.最大交通量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2、公路设计时确定其几何线形的最关键的参数是（   ）。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 设计车辆    B .交通量     C. 设计车速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3、超高附加纵坡度，是指超高后的（   ）纵坡比原设计纵坡增加的坡度。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A.外侧路肩边缘     B.外侧路面边缘   C.路面中心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4、公路弯道加宽一般在（   ）进行。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 外侧      B. 内侧         C .两侧同时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5、高速、一级公路一般情况下应保证（   ）。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 .停车视距    B.会车视距      C .超车视距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6、一般公路在高路堤情况下的超高构成可采用（   ）。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 内边轴旋转         B.外边轴旋转              C. 中轴旋转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7、公路直线部分的路拱横坡度为2%，则公路圆曲线部分最小超高横坡度应是（   ）。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 3%     B. 2%   C.非定值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8、汽车行驶时的理论轨迹为（   ）。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 二次抛物线  B. 高次抛物线    C.回旋曲线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9、二、三、四级公路的路基设计标高一般是指（   ）。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 路基中线标高     B.路面边缘标高   C.路基边缘标高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10、凸形竖曲线最小长度和最小半径地确定，主要根据（   ）来选取其中较大值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A. 行程时间、离心力和视距  B. 加速度、行车时间和离心力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C.加速度、行车时间和视距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11、汽车在公路上行驶，当牵引力等于各种行驶阻力的代数和时，汽车就（）行驶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 加速    B. 等速   C. 减速  D. 无法确定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12、在平原区，纵断面设计标高的控制主要取决于（   ）。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 路基最小填土高度  B. 土石方填挖平衡  C. 最小纵坡和坡长 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13、路基填方用土取“调”或“借”的界限距离称为（    ）。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 经济运距   B.平均运距     C. 超运运距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14、绘制横断面图的比例尺一般为（   ）。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 1：100    B. 1：200     C. 1：500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15、平原区布线应合理考虑路线与城镇的关系，一般是（   ）。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A.穿过城镇   B.离开城镇   C.靠近城镇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二、填空题（每空1分,共30分）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1、《公路工程技术标准》（JTG B01—2003）将公路服务水平划分为四级。其中高速、一级公路以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作为划分服务水平的主要指标，二、三级公路以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 和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作为划分服务水平的主要指标。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2、公路平面线形的三要素是指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 、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和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3、在转向相同的两相邻曲线间夹直线段处，其直线长度一般不小于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4、我国测量坐标系统通常有三种，即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、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 、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5、停车视距可分解为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、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和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等三部分距离。 6、纵坡度表征匀坡路段纵坡度的大小，它是以路线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和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之比的百分数来度量的。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7、为防止零星土石碎落物落入边沟，通常在路堑边坡坡脚与边沟外侧边缘之间，设置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8、计价土石方数量V计=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 +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9、公路定线一般有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定线、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定线和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>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定线三种方法。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 xml:space="preserve">三、问答题：（每小题5分共10分）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1．简述缓和曲线的作用。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="469" w:beforeLines="150" w:beforeAutospacing="0" w:after="157" w:afterLines="50" w:afterAutospacing="0" w:line="300" w:lineRule="atLeast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="469" w:beforeLines="150" w:beforeAutospacing="0" w:after="157" w:afterLines="50" w:afterAutospacing="0" w:line="300" w:lineRule="atLeast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="469" w:beforeLines="150" w:beforeAutospacing="0" w:after="157" w:afterLines="50" w:afterAutospacing="0" w:line="300" w:lineRule="atLeast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四、计算题：（每题15分，共30分）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1．从某公路设计文件《直线、曲线及转角一览表》中摘抄的一组路线设计资料如下：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JD8： K3+425.982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K3+311.099  K3+346.099  K3+492.155 K3+527.155    JD9：K4+135.169  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=K4+047.436    =K4+221.135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试计算（1）JD8曲线的切线长、曲线长、缓和曲线长及曲线中点桩号；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        （2）计算JD9曲线的切线长、曲线长和曲线中点桩号；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          （3）计算两曲线交点间距及所夹直线段长度。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="469" w:beforeLines="150" w:beforeAutospacing="0" w:after="157" w:afterLines="50" w:afterAutospacing="0" w:line="300" w:lineRule="atLeast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 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2．某公路有连续三个变坡点分别为：K8+700、K9+100、K9+380，对应的设计标高分别为：77.756米、65.356米、68.716米。若在变坡点K9+100处的竖曲线半径为3000米，试计算： </w:t>
      </w:r>
    </w:p>
    <w:p>
      <w:pPr>
        <w:widowControl/>
        <w:numPr>
          <w:ilvl w:val="0"/>
          <w:numId w:val="1"/>
        </w:numPr>
        <w:wordWrap w:val="0"/>
        <w:spacing w:before="100" w:beforeLines="0" w:beforeAutospacing="1" w:after="100" w:afterLines="0" w:afterAutospacing="1" w:line="300" w:lineRule="atLeast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该竖曲线要素及起止点桩号；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（2）桩号K9+060、K9+150的路基设计标高。</w:t>
      </w: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</w:pPr>
    </w:p>
    <w:p>
      <w:pPr>
        <w:spacing w:line="360" w:lineRule="auto"/>
        <w:ind w:firstLine="602" w:firstLineChars="200"/>
        <w:rPr>
          <w:rFonts w:hint="default" w:asciiTheme="minorEastAsia" w:hAnsiTheme="minorEastAsia" w:eastAsiaTheme="minorEastAsia" w:cstheme="minorEastAsia"/>
          <w:b/>
          <w:bCs w:val="0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b/>
          <w:bCs w:val="0"/>
          <w:sz w:val="30"/>
          <w:szCs w:val="30"/>
          <w:lang w:val="en-US" w:eastAsia="zh-CN"/>
        </w:rPr>
        <w:t>《道路勘测设计》复习资料</w:t>
      </w:r>
    </w:p>
    <w:p>
      <w:pPr>
        <w:widowControl/>
        <w:numPr>
          <w:ilvl w:val="0"/>
          <w:numId w:val="2"/>
        </w:numPr>
        <w:spacing w:line="300" w:lineRule="atLeast"/>
        <w:jc w:val="both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单选题（每题1.5分，共30分）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1、A. 年平均日交通量  2、C. 设计车速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3、B.外侧路面边缘    4、B. 内侧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5、A .停车视距   6、B.外边轴旋转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7、B. 2% 8、C.回旋曲线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9、C.路基边缘标高  10、A. 行程时间、离心力和视距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11、B. 等速   12、A. 路基最小填土高度   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 xml:space="preserve">二、填空题（每空1分,共30分）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1、车流密度，延误率，平均运行速度。 2、直线、圆曲线、缓和曲线。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3、6V。  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4、大地坐标系统、 高斯3º 平面直角坐标系统 、平面直角坐标系统 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5、反应距离、制动距离、安全距离 。</w:t>
      </w:r>
    </w:p>
    <w:p>
      <w:pPr>
        <w:widowControl/>
        <w:numPr>
          <w:ilvl w:val="0"/>
          <w:numId w:val="3"/>
        </w:numPr>
        <w:spacing w:line="300" w:lineRule="atLeast"/>
        <w:jc w:val="both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高差、水平距离。</w:t>
      </w:r>
    </w:p>
    <w:p>
      <w:pPr>
        <w:widowControl/>
        <w:numPr>
          <w:ilvl w:val="0"/>
          <w:numId w:val="0"/>
        </w:numPr>
        <w:spacing w:line="300" w:lineRule="atLeast"/>
        <w:jc w:val="both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三、问答题：（每小题5分共10分）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1.答：缓和曲线的作用是：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（1）便于驾驶员操纵方向盘；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（2）满足乘客乘车的舒适与稳定，减小离心力变化；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（3）满足超高、加宽缓和段的过渡，利于平稳行车；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（4）与圆曲线配合得当，增加线形美观。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 xml:space="preserve">四、计算题：（每题15分，共30分）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1.解：（1）JD8曲线的切线长、曲线长、缓和曲线长及曲线中点桩号分别为：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    （K3+425.982）-（K3+311.099）=114.883（米）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    （K3+527.155）-（K3+311.099）=216.056（米）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    （K3+346.099）-（K3+311.099）=35（米）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         或=（K3+527.155）-（K3+492.155）=35（米）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QZ的桩号：=ZH+L/2=（K3+311.099）+216.056/2=K3+419.127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（2）JD9曲线的切线长、曲线长和曲线中点桩号分别为：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    （K4+135.169）-（K4+047.436）=87.733（米）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    （K4+221.135）-（K4+047.436）=173.699（米）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QZ的桩号：=ZY+L/2=（K4+047.436）+173.699/2=K4+134.285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（3）计算两曲线交点间距及所夹直线段长度分别为：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   JD8—JD9间距=114.883+[（K4+047.436）-（K3+527.155）]+ 87.733=722.897（米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   所夹直线长度=（K4+047.436）-（K3+527.155）=520.281（米）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2．解：（1）计算该竖曲线要素及起止点桩号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竖曲线起点桩号= （K9+100）-64.5= K9+035.5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竖曲线止点桩号= （K9+100）+64.5= K9+164.5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（2）计算桩号K9+060、K9+150的路基设计标高。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①对于K9+060：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路基设计标高=65.356+[（K9+100）-（K9+060）] + 0.100=66.696（米）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②对于K9+150：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路基设计标高=65.356+[（K9+150）-（K9+100）] + 0.035=65.991（米）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</w:pPr>
    </w:p>
    <w:p>
      <w:pPr>
        <w:spacing w:line="360" w:lineRule="auto"/>
        <w:rPr>
          <w:rFonts w:hint="default" w:ascii="Times New Roman" w:hAnsi="Times New Roman" w:eastAsia="仿宋_GB2312" w:cs="Times New Roman"/>
          <w:b/>
          <w:bCs w:val="0"/>
          <w:sz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6D7889FE"/>
    <w:multiLevelType w:val="singleLevel"/>
    <w:tmpl w:val="6D7889FE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71113337"/>
    <w:multiLevelType w:val="singleLevel"/>
    <w:tmpl w:val="7111333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E56DB5"/>
    <w:rsid w:val="02355682"/>
    <w:rsid w:val="03B65DB6"/>
    <w:rsid w:val="06964A9B"/>
    <w:rsid w:val="09766388"/>
    <w:rsid w:val="0E44619C"/>
    <w:rsid w:val="1A595377"/>
    <w:rsid w:val="1BDE5224"/>
    <w:rsid w:val="1BFE799B"/>
    <w:rsid w:val="1D9E1686"/>
    <w:rsid w:val="228B7A9D"/>
    <w:rsid w:val="22DE3463"/>
    <w:rsid w:val="25D343B5"/>
    <w:rsid w:val="2A7F4738"/>
    <w:rsid w:val="2F9579F7"/>
    <w:rsid w:val="35DE5475"/>
    <w:rsid w:val="36273B02"/>
    <w:rsid w:val="37181008"/>
    <w:rsid w:val="3E531FC2"/>
    <w:rsid w:val="42802AED"/>
    <w:rsid w:val="47182FBE"/>
    <w:rsid w:val="471B5415"/>
    <w:rsid w:val="47FF2B28"/>
    <w:rsid w:val="4B6F404F"/>
    <w:rsid w:val="516A349F"/>
    <w:rsid w:val="52483D98"/>
    <w:rsid w:val="60ED6170"/>
    <w:rsid w:val="61F93F4F"/>
    <w:rsid w:val="63CE6217"/>
    <w:rsid w:val="651054EE"/>
    <w:rsid w:val="654E1338"/>
    <w:rsid w:val="68363F96"/>
    <w:rsid w:val="72F10C27"/>
    <w:rsid w:val="75144584"/>
    <w:rsid w:val="76D103A1"/>
    <w:rsid w:val="77754F4F"/>
    <w:rsid w:val="77E8615C"/>
    <w:rsid w:val="7B0B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6">
    <w:name w:val="Strong"/>
    <w:basedOn w:val="5"/>
    <w:qFormat/>
    <w:uiPriority w:val="0"/>
    <w:rPr>
      <w:b/>
      <w:bCs/>
    </w:rPr>
  </w:style>
  <w:style w:type="character" w:styleId="7">
    <w:name w:val="Hyperlink"/>
    <w:basedOn w:val="5"/>
    <w:qFormat/>
    <w:uiPriority w:val="0"/>
    <w:rPr>
      <w:color w:val="0000CC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2020-02-15T16:11:59Z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