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cs="宋体"/>
          <w:b/>
          <w:bCs/>
          <w:sz w:val="32"/>
          <w:szCs w:val="32"/>
          <w:lang w:val="en-US" w:eastAsia="zh-CN"/>
        </w:rPr>
      </w:pPr>
      <w:r>
        <w:rPr>
          <w:rFonts w:hint="eastAsia" w:ascii="宋体" w:hAnsi="宋体" w:cs="宋体"/>
          <w:b/>
          <w:bCs/>
          <w:sz w:val="32"/>
          <w:szCs w:val="32"/>
        </w:rPr>
        <w:t>金融基础</w:t>
      </w:r>
      <w:r>
        <w:rPr>
          <w:rFonts w:hint="eastAsia" w:ascii="宋体" w:hAnsi="宋体" w:cs="宋体"/>
          <w:b/>
          <w:bCs/>
          <w:sz w:val="32"/>
          <w:szCs w:val="32"/>
          <w:lang w:val="en-US" w:eastAsia="zh-CN"/>
        </w:rPr>
        <w:t>复习资料</w:t>
      </w:r>
    </w:p>
    <w:p>
      <w:pPr>
        <w:pStyle w:val="2"/>
        <w:ind w:left="0" w:right="0" w:firstLine="211"/>
        <w:rPr>
          <w:rFonts w:ascii="宋体" w:hAnsi="宋体" w:eastAsia="宋体" w:cs="宋体"/>
          <w:b w:val="0"/>
          <w:i w:val="0"/>
          <w:caps w:val="0"/>
          <w:smallCaps w:val="0"/>
          <w:sz w:val="21"/>
          <w:szCs w:val="21"/>
        </w:rPr>
      </w:pPr>
      <w:r>
        <w:rPr>
          <w:rFonts w:ascii="宋体" w:hAnsi="宋体" w:eastAsia="宋体" w:cs="宋体"/>
          <w:b/>
          <w:sz w:val="24"/>
          <w:szCs w:val="21"/>
        </w:rPr>
        <w:t xml:space="preserve">一 单选题 </w:t>
      </w:r>
    </w:p>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 直接证券包括证券、股票、商业票据（　　　）。 </w:t>
      </w:r>
    </w:p>
    <w:tbl>
      <w:tblPr>
        <w:tblStyle w:val="4"/>
        <w:tblW w:w="0" w:type="auto"/>
        <w:tblInd w:w="283" w:type="dxa"/>
        <w:tblLayout w:type="fixed"/>
        <w:tblCellMar>
          <w:top w:w="0" w:type="dxa"/>
          <w:left w:w="0" w:type="dxa"/>
          <w:bottom w:w="0" w:type="dxa"/>
          <w:right w:w="0" w:type="dxa"/>
        </w:tblCellMar>
      </w:tblPr>
      <w:tblGrid>
        <w:gridCol w:w="8312"/>
      </w:tblGrid>
      <w:tr>
        <w:tc>
          <w:tcPr>
            <w:tcW w:w="8312" w:type="dxa"/>
            <w:shd w:val="clear" w:color="auto" w:fill="auto"/>
            <w:noWrap w:val="0"/>
            <w:vAlign w:val="top"/>
          </w:tcPr>
          <w:p>
            <w:pPr>
              <w:pStyle w:val="6"/>
            </w:pPr>
            <w:r>
              <w:rPr>
                <w:b w:val="0"/>
                <w:i w:val="0"/>
                <w:caps w:val="0"/>
                <w:smallCaps w:val="0"/>
                <w:sz w:val="21"/>
              </w:rPr>
              <w:t xml:space="preserve">A. 借款合约 </w:t>
            </w:r>
          </w:p>
        </w:tc>
      </w:tr>
      <w:tr>
        <w:tc>
          <w:tcPr>
            <w:tcW w:w="8312" w:type="dxa"/>
            <w:shd w:val="clear" w:color="auto" w:fill="auto"/>
            <w:noWrap w:val="0"/>
            <w:vAlign w:val="top"/>
          </w:tcPr>
          <w:p>
            <w:pPr>
              <w:pStyle w:val="6"/>
            </w:pPr>
            <w:r>
              <w:rPr>
                <w:b w:val="0"/>
                <w:i w:val="0"/>
                <w:caps w:val="0"/>
                <w:smallCaps w:val="0"/>
                <w:sz w:val="21"/>
              </w:rPr>
              <w:t>B. 保险单</w:t>
            </w:r>
            <w:r>
              <w:t xml:space="preserve"> </w:t>
            </w:r>
          </w:p>
        </w:tc>
      </w:tr>
      <w:tr>
        <w:tc>
          <w:tcPr>
            <w:tcW w:w="8312" w:type="dxa"/>
            <w:shd w:val="clear" w:color="auto" w:fill="auto"/>
            <w:noWrap w:val="0"/>
            <w:vAlign w:val="top"/>
          </w:tcPr>
          <w:p>
            <w:pPr>
              <w:pStyle w:val="6"/>
            </w:pPr>
            <w:r>
              <w:rPr>
                <w:b w:val="0"/>
                <w:i w:val="0"/>
                <w:caps w:val="0"/>
                <w:smallCaps w:val="0"/>
                <w:sz w:val="21"/>
              </w:rPr>
              <w:t xml:space="preserve">C. 银行本票 </w:t>
            </w:r>
          </w:p>
        </w:tc>
      </w:tr>
      <w:tr>
        <w:tc>
          <w:tcPr>
            <w:tcW w:w="8312" w:type="dxa"/>
            <w:shd w:val="clear" w:color="auto" w:fill="auto"/>
            <w:noWrap w:val="0"/>
            <w:vAlign w:val="top"/>
          </w:tcPr>
          <w:p>
            <w:pPr>
              <w:pStyle w:val="6"/>
            </w:pPr>
            <w:r>
              <w:rPr>
                <w:b w:val="0"/>
                <w:i w:val="0"/>
                <w:caps w:val="0"/>
                <w:smallCaps w:val="0"/>
                <w:sz w:val="21"/>
              </w:rPr>
              <w:t>D. 基金股份</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2. 如果金银的法定比价为1：13，而市场比价为1：15，这时，充斥市场的将是（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A. 银币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金币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金币和银币</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都不是</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3. 金融工具的价格与其盈利率和市场利率之间分别成（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反方向，反方向</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反方向，同方向</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同方向，反方向</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同方向，同方向</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4. 商业银行最基本也是最能反映其经营活动特征的职能是（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信用创造</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支付中介</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信用中介</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金融服务</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5. 根据金融创新的内涵，下列不属于金融工具创新内容的是（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规避利率风险的创新</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清算系统的创新</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增加流动性的创新</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规避金融管制的创新</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6. 由于技术创新和生产效率的提高所造成的产品绝对数量过剩而引发的通货紧缩，称之为（　　　）型通货紧缩。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需求过剩</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投资过剩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C. 生产过剩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供给过剩</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7. 货币供给量也是内生变量，这是因为它的大小由（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个人行为左右</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经营单位行为左右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商业银行经营行为左右</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各经济主体共同决定</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8. 提出现金交易说的经济学家是（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凯恩斯</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马歇尔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C. 费雪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庇古</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9. 下列说法正确的是（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A. 主币和辅币均是自由铸造的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主币和辅币均由国家垄断铸造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主币由国家垄断铸造  </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辅币由国家垄断铸造</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10. 股票史上影响股市行情最复杂的政治因素是（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国内政局变化因素</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劳资纠纷因素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战争因素</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国际政治形势的变化因素</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11. 下列（　　　）这种货币政策工具虽然力度较大，但是，震动过大；可能导致商业银行资金周转不灵。</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调整再贴现率</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法定准备金政策</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公开市场业务</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窗口指导</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12. 本位货币是……（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A. 被规定为标准的、基本通货的货币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本国货币当局发行的货币</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以黄金为基础的货币</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可以与黄金兑换的货币</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13. “金银天然不是货币，但货币天然是金银”的含义是（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不论在什么情况下，只要有货币就应该是金银。</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B. 并不是在任何情况下金银都是货币，但对发展起来的商品交换来说，金银的自然属性使它们最适合充当货币。</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就金银的自然属性而言，它们不适合充当货币，但就金银的社会属性而言，它们最适合充当货币。</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自然状态下的金银不是货币，货币是非自然状态下的金银。</w:t>
            </w:r>
            <w:r>
              <w:t xml:space="preserve">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14. 凯恩斯货币需求函数M=L1（Y）+ L2（i）中，认为M与收入Y和利率i的关系是（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负相关，正相关</w:t>
            </w:r>
            <w:r>
              <w:t xml:space="preserve"> </w:t>
            </w:r>
          </w:p>
        </w:tc>
      </w:tr>
      <w:tr>
        <w:tc>
          <w:tcPr>
            <w:tcW w:w="8312" w:type="dxa"/>
            <w:shd w:val="clear" w:color="auto" w:fill="auto"/>
            <w:noWrap w:val="0"/>
            <w:vAlign w:val="top"/>
          </w:tcPr>
          <w:p>
            <w:pPr>
              <w:pStyle w:val="6"/>
            </w:pPr>
            <w:r>
              <w:rPr>
                <w:b w:val="0"/>
                <w:i w:val="0"/>
                <w:caps w:val="0"/>
                <w:smallCaps w:val="0"/>
                <w:sz w:val="21"/>
              </w:rPr>
              <w:t xml:space="preserve">B. 正相关，正相关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负相关，负相关</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D. 正相关，负相关 </w:t>
            </w:r>
          </w:p>
        </w:tc>
      </w:tr>
    </w:tbl>
    <w:p>
      <w:pPr>
        <w:pStyle w:val="2"/>
        <w:ind w:left="0" w:right="0" w:firstLine="211"/>
        <w:rPr>
          <w:b w:val="0"/>
          <w:i w:val="0"/>
          <w:caps w:val="0"/>
          <w:smallCaps w:val="0"/>
          <w:sz w:val="21"/>
        </w:rPr>
      </w:pPr>
      <w:r>
        <w:rPr>
          <w:rFonts w:ascii="宋体" w:hAnsi="宋体" w:eastAsia="宋体" w:cs="宋体"/>
          <w:b w:val="0"/>
          <w:i w:val="0"/>
          <w:caps w:val="0"/>
          <w:smallCaps w:val="0"/>
          <w:sz w:val="21"/>
          <w:szCs w:val="21"/>
        </w:rPr>
        <w:t xml:space="preserve">15. 货币供给量是外生变量，这是由于它受（　　　） </w:t>
      </w:r>
    </w:p>
    <w:tbl>
      <w:tblPr>
        <w:tblStyle w:val="4"/>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A. 个人行为左右</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 xml:space="preserve">B. 经营单位行为左右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C. 商业银行经营行为左右</w:t>
            </w:r>
            <w:r>
              <w:t xml:space="preserve"> </w:t>
            </w:r>
          </w:p>
        </w:tc>
      </w:tr>
      <w:tr>
        <w:tblPrEx>
          <w:tblCellMar>
            <w:top w:w="0" w:type="dxa"/>
            <w:left w:w="0" w:type="dxa"/>
            <w:bottom w:w="0" w:type="dxa"/>
            <w:right w:w="0" w:type="dxa"/>
          </w:tblCellMar>
        </w:tblPrEx>
        <w:tc>
          <w:tcPr>
            <w:tcW w:w="8312" w:type="dxa"/>
            <w:shd w:val="clear" w:color="auto" w:fill="auto"/>
            <w:noWrap w:val="0"/>
            <w:vAlign w:val="top"/>
          </w:tcPr>
          <w:p>
            <w:pPr>
              <w:pStyle w:val="6"/>
            </w:pPr>
            <w:r>
              <w:rPr>
                <w:b w:val="0"/>
                <w:i w:val="0"/>
                <w:caps w:val="0"/>
                <w:smallCaps w:val="0"/>
                <w:sz w:val="21"/>
              </w:rPr>
              <w:t>D. 中央银行货币政策左右</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二 填空题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1. 一个流动性不足的商业银行随时面临倒闭的危险，即所谓的_________________破产。 </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2. 按照信贷配给传导机制理论，货币政策主要通过________________效应和银行贷款效应来影响投资。</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 xml:space="preserve">3. 除了美国和英国的外汇牌价之外，其他各国货币都是采用_________________标价法。 </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三 简答题 </w:t>
      </w:r>
    </w:p>
    <w:p>
      <w:pPr>
        <w:pStyle w:val="2"/>
        <w:ind w:left="0" w:right="0" w:firstLine="211"/>
        <w:rPr>
          <w:rFonts w:ascii="宋体" w:hAnsi="宋体" w:eastAsia="宋体" w:cs="宋体"/>
          <w:b w:val="0"/>
          <w:sz w:val="21"/>
          <w:szCs w:val="21"/>
        </w:rPr>
      </w:pPr>
      <w:r>
        <w:rPr>
          <w:rFonts w:hint="eastAsia" w:ascii="宋体" w:hAnsi="宋体" w:eastAsia="宋体" w:cs="宋体"/>
          <w:b w:val="0"/>
          <w:sz w:val="21"/>
          <w:szCs w:val="21"/>
          <w:lang w:val="en-US" w:eastAsia="zh-CN"/>
        </w:rPr>
        <w:t>1</w:t>
      </w:r>
      <w:r>
        <w:rPr>
          <w:rFonts w:ascii="宋体" w:hAnsi="宋体" w:eastAsia="宋体" w:cs="宋体"/>
          <w:b w:val="0"/>
          <w:sz w:val="21"/>
          <w:szCs w:val="21"/>
        </w:rPr>
        <w:t>. 简述中央银行的性质和职能。</w:t>
      </w:r>
    </w:p>
    <w:p>
      <w:pPr>
        <w:pStyle w:val="2"/>
        <w:ind w:left="0" w:right="0" w:firstLine="211"/>
        <w:rPr>
          <w:rFonts w:ascii="宋体" w:hAnsi="宋体" w:eastAsia="宋体" w:cs="宋体"/>
          <w:b w:val="0"/>
          <w:sz w:val="21"/>
          <w:szCs w:val="21"/>
        </w:rPr>
      </w:pPr>
      <w:r>
        <w:rPr>
          <w:rFonts w:hint="eastAsia" w:ascii="宋体" w:hAnsi="宋体" w:eastAsia="宋体" w:cs="宋体"/>
          <w:b w:val="0"/>
          <w:sz w:val="21"/>
          <w:szCs w:val="21"/>
          <w:lang w:val="en-US" w:eastAsia="zh-CN"/>
        </w:rPr>
        <w:t>2</w:t>
      </w:r>
      <w:r>
        <w:rPr>
          <w:rFonts w:ascii="宋体" w:hAnsi="宋体" w:eastAsia="宋体" w:cs="宋体"/>
          <w:b w:val="0"/>
          <w:sz w:val="21"/>
          <w:szCs w:val="21"/>
        </w:rPr>
        <w:t xml:space="preserve">. 请从银行角度来说明金融业混业经营的优势。 </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四 计算题</w:t>
      </w:r>
    </w:p>
    <w:p>
      <w:pPr>
        <w:pStyle w:val="2"/>
        <w:ind w:left="0" w:right="0" w:firstLine="211"/>
        <w:rPr>
          <w:rFonts w:ascii="宋体" w:hAnsi="宋体" w:eastAsia="宋体" w:cs="宋体"/>
          <w:b w:val="0"/>
          <w:sz w:val="21"/>
          <w:szCs w:val="21"/>
        </w:rPr>
      </w:pPr>
      <w:r>
        <w:rPr>
          <w:rFonts w:hint="eastAsia" w:ascii="宋体" w:hAnsi="宋体" w:eastAsia="宋体" w:cs="宋体"/>
          <w:b w:val="0"/>
          <w:sz w:val="21"/>
          <w:szCs w:val="21"/>
          <w:lang w:val="en-US" w:eastAsia="zh-CN"/>
        </w:rPr>
        <w:t>1</w:t>
      </w:r>
      <w:r>
        <w:rPr>
          <w:rFonts w:ascii="宋体" w:hAnsi="宋体" w:eastAsia="宋体" w:cs="宋体"/>
          <w:b w:val="0"/>
          <w:sz w:val="21"/>
          <w:szCs w:val="21"/>
        </w:rPr>
        <w:t>. 假设商业银行体系准备金为12000亿元，公众持有现金为8000亿元。活期存款法定准备金率为9％，定期存款法定准备金率为5％，现金漏损率为8％，定期存款与活期存款的比例为0.2，商业银行超额准备金率为4％。 试根据上述资料计算（1）基础货币（2）货币乘数（3）狭义货币供给量M1 （</w:t>
      </w:r>
    </w:p>
    <w:p>
      <w:pPr>
        <w:pStyle w:val="2"/>
        <w:ind w:left="0" w:right="0" w:firstLine="211"/>
        <w:rPr>
          <w:rFonts w:ascii="宋体" w:hAnsi="宋体" w:eastAsia="宋体" w:cs="宋体"/>
          <w:b w:val="0"/>
          <w:sz w:val="21"/>
          <w:szCs w:val="21"/>
        </w:rPr>
      </w:pPr>
      <w:r>
        <w:rPr>
          <w:rFonts w:hint="eastAsia" w:ascii="宋体" w:hAnsi="宋体" w:eastAsia="宋体" w:cs="宋体"/>
          <w:b w:val="0"/>
          <w:sz w:val="21"/>
          <w:szCs w:val="21"/>
          <w:lang w:val="en-US" w:eastAsia="zh-CN"/>
        </w:rPr>
        <w:t>2</w:t>
      </w:r>
      <w:r>
        <w:rPr>
          <w:rFonts w:ascii="宋体" w:hAnsi="宋体" w:eastAsia="宋体" w:cs="宋体"/>
          <w:b w:val="0"/>
          <w:sz w:val="21"/>
          <w:szCs w:val="21"/>
        </w:rPr>
        <w:t xml:space="preserve">. 一张面额为100 000元的商业汇票，期限为6个月，在持有4个月后，到银行申请贴现，在年贴现率为10%的情况下，计算贴现利息和贴现额各为多少元？ </w:t>
      </w:r>
    </w:p>
    <w:p>
      <w:pPr>
        <w:pStyle w:val="2"/>
        <w:ind w:left="0" w:right="0" w:firstLine="211"/>
        <w:rPr>
          <w:rFonts w:hint="default" w:ascii="宋体" w:hAnsi="宋体" w:eastAsia="宋体"/>
          <w:b/>
          <w:sz w:val="32"/>
          <w:szCs w:val="32"/>
          <w:lang w:val="en-US" w:eastAsia="zh-CN"/>
        </w:rPr>
      </w:pP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ascii="宋体" w:hAnsi="宋体" w:eastAsia="宋体" w:cs="宋体"/>
          <w:b w:val="0"/>
          <w:sz w:val="21"/>
          <w:szCs w:val="21"/>
        </w:rPr>
        <w:br w:type="textWrapping"/>
      </w:r>
      <w:r>
        <w:rPr>
          <w:rFonts w:hint="eastAsia" w:ascii="宋体" w:hAnsi="宋体" w:eastAsia="宋体" w:cs="宋体"/>
          <w:b w:val="0"/>
          <w:sz w:val="32"/>
          <w:szCs w:val="32"/>
          <w:lang w:val="en-US" w:eastAsia="zh-CN"/>
        </w:rPr>
        <w:t>金融基础复习资料答案</w:t>
      </w:r>
    </w:p>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一 单选题 </w:t>
      </w:r>
    </w:p>
    <w:p>
      <w:pPr>
        <w:pStyle w:val="2"/>
        <w:ind w:left="0" w:right="0" w:firstLine="211"/>
      </w:pPr>
      <w:r>
        <w:rPr>
          <w:rFonts w:ascii="宋体" w:hAnsi="宋体" w:eastAsia="宋体" w:cs="宋体"/>
          <w:b w:val="0"/>
          <w:sz w:val="21"/>
          <w:szCs w:val="21"/>
        </w:rPr>
        <w:t>1. 答案：C</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2. 答案：A</w:t>
      </w:r>
    </w:p>
    <w:p>
      <w:pPr>
        <w:pStyle w:val="2"/>
        <w:rPr>
          <w:rFonts w:ascii="宋体" w:hAnsi="宋体" w:eastAsia="宋体" w:cs="宋体"/>
          <w:b w:val="0"/>
          <w:sz w:val="21"/>
          <w:szCs w:val="21"/>
        </w:rPr>
      </w:pPr>
      <w:r>
        <w:t>解析过程：</w:t>
      </w:r>
      <w:bookmarkStart w:id="0" w:name="_GoBack"/>
      <w:bookmarkEnd w:id="0"/>
    </w:p>
    <w:p>
      <w:pPr>
        <w:pStyle w:val="2"/>
        <w:ind w:left="0" w:right="0" w:firstLine="211"/>
      </w:pPr>
      <w:r>
        <w:rPr>
          <w:rFonts w:ascii="宋体" w:hAnsi="宋体" w:eastAsia="宋体" w:cs="宋体"/>
          <w:b w:val="0"/>
          <w:sz w:val="21"/>
          <w:szCs w:val="21"/>
        </w:rPr>
        <w:t>3. 答案：C</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4. 答案：C</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5. 答案：B</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6. 答案：C</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7. 答案：D</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8. 答案：C</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9. 答案：D</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10. 答案：C</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11. 答案：B</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12. 答案：A</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13. 答案：B</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14. 答案：D</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15. 答案：D</w:t>
      </w:r>
    </w:p>
    <w:p>
      <w:pPr>
        <w:pStyle w:val="2"/>
        <w:rPr>
          <w:rFonts w:ascii="宋体" w:hAnsi="宋体" w:eastAsia="宋体" w:cs="宋体"/>
          <w:b w:val="0"/>
          <w:sz w:val="21"/>
          <w:szCs w:val="21"/>
        </w:rPr>
      </w:pPr>
      <w:r>
        <w:t>解析过程：</w:t>
      </w:r>
    </w:p>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二 填空题 </w:t>
      </w:r>
    </w:p>
    <w:p>
      <w:pPr>
        <w:pStyle w:val="2"/>
        <w:ind w:right="0"/>
      </w:pPr>
      <w:r>
        <w:rPr>
          <w:rFonts w:ascii="宋体" w:hAnsi="宋体" w:eastAsia="宋体" w:cs="宋体"/>
          <w:b w:val="0"/>
          <w:sz w:val="21"/>
          <w:szCs w:val="21"/>
        </w:rPr>
        <w:t>1. 答案：技术性</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2. 答案：资产负债表</w:t>
      </w:r>
    </w:p>
    <w:p>
      <w:pPr>
        <w:pStyle w:val="2"/>
        <w:rPr>
          <w:rFonts w:ascii="宋体" w:hAnsi="宋体" w:eastAsia="宋体" w:cs="宋体"/>
          <w:b w:val="0"/>
          <w:sz w:val="21"/>
          <w:szCs w:val="21"/>
        </w:rPr>
      </w:pPr>
      <w:r>
        <w:t>解析过程：</w:t>
      </w:r>
    </w:p>
    <w:p>
      <w:pPr>
        <w:pStyle w:val="2"/>
        <w:ind w:left="0" w:right="0" w:firstLine="211"/>
      </w:pPr>
      <w:r>
        <w:rPr>
          <w:rFonts w:ascii="宋体" w:hAnsi="宋体" w:eastAsia="宋体" w:cs="宋体"/>
          <w:b w:val="0"/>
          <w:sz w:val="21"/>
          <w:szCs w:val="21"/>
        </w:rPr>
        <w:t>3. 答案：直接</w:t>
      </w:r>
    </w:p>
    <w:p>
      <w:pPr>
        <w:pStyle w:val="2"/>
        <w:rPr>
          <w:rFonts w:ascii="宋体" w:hAnsi="宋体" w:eastAsia="宋体" w:cs="宋体"/>
          <w:b w:val="0"/>
          <w:sz w:val="21"/>
          <w:szCs w:val="21"/>
        </w:rPr>
      </w:pPr>
      <w:r>
        <w:t>解析过程：</w:t>
      </w:r>
    </w:p>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三 简答题 </w:t>
      </w:r>
    </w:p>
    <w:p>
      <w:pPr>
        <w:pStyle w:val="2"/>
        <w:ind w:left="0" w:right="0" w:firstLine="211"/>
      </w:pPr>
      <w:r>
        <w:rPr>
          <w:rFonts w:hint="eastAsia" w:ascii="宋体" w:hAnsi="宋体" w:eastAsia="宋体" w:cs="宋体"/>
          <w:b w:val="0"/>
          <w:sz w:val="21"/>
          <w:szCs w:val="21"/>
          <w:lang w:val="en-US" w:eastAsia="zh-CN"/>
        </w:rPr>
        <w:t>1</w:t>
      </w:r>
      <w:r>
        <w:rPr>
          <w:rFonts w:ascii="宋体" w:hAnsi="宋体" w:eastAsia="宋体" w:cs="宋体"/>
          <w:b w:val="0"/>
          <w:sz w:val="21"/>
          <w:szCs w:val="21"/>
        </w:rPr>
        <w:t xml:space="preserve">. 答案：中央银行的性质：管理金融业务的国家机构；是特殊的金融机构，实行宏观金融和经济调，不以营利为目的 ，特定的业务对象，调节货币供应量。 </w:t>
      </w:r>
    </w:p>
    <w:p>
      <w:pPr>
        <w:pStyle w:val="2"/>
      </w:pPr>
      <w:r>
        <w:t>中央银行的职能有：发行的银行、银行的银行、政府的银行。</w:t>
      </w:r>
    </w:p>
    <w:p>
      <w:pPr>
        <w:pStyle w:val="2"/>
        <w:ind w:left="0" w:right="0" w:firstLine="211"/>
      </w:pPr>
      <w:r>
        <w:rPr>
          <w:rFonts w:ascii="宋体" w:hAnsi="宋体" w:eastAsia="宋体" w:cs="宋体"/>
          <w:b w:val="0"/>
          <w:sz w:val="21"/>
          <w:szCs w:val="21"/>
        </w:rPr>
        <w:t>2. 答案：（1）具有规模经济和范围经济带来的成本优势。</w:t>
      </w:r>
    </w:p>
    <w:p>
      <w:pPr>
        <w:pStyle w:val="2"/>
      </w:pPr>
      <w:r>
        <w:t xml:space="preserve">（2）使银行机构扩大和向更多的客户提供更为全面的金融服务，银行可以获得经济集中的利益和竞争优势。（3）通过提供全方位的金融服务，可以使信息成本和监督成本最小化。（4）有利于银行充分挖掘现有销售网络的资源潜力。（5）有利于银行业务的多样化，进而分散经营风险。 </w:t>
      </w:r>
    </w:p>
    <w:p>
      <w:pPr>
        <w:pStyle w:val="2"/>
        <w:ind w:left="0" w:right="0" w:firstLine="211"/>
        <w:rPr>
          <w:rFonts w:ascii="宋体" w:hAnsi="宋体" w:eastAsia="宋体"/>
          <w:b/>
          <w:sz w:val="24"/>
        </w:rPr>
      </w:pPr>
    </w:p>
    <w:p>
      <w:pPr>
        <w:pStyle w:val="2"/>
        <w:ind w:left="0" w:right="0" w:firstLine="211"/>
        <w:rPr>
          <w:rFonts w:ascii="宋体" w:hAnsi="宋体" w:eastAsia="宋体" w:cs="宋体"/>
          <w:b/>
          <w:sz w:val="24"/>
          <w:szCs w:val="21"/>
        </w:rPr>
      </w:pPr>
      <w:r>
        <w:rPr>
          <w:rFonts w:ascii="宋体" w:hAnsi="宋体" w:eastAsia="宋体" w:cs="宋体"/>
          <w:b/>
          <w:sz w:val="24"/>
          <w:szCs w:val="21"/>
        </w:rPr>
        <w:t xml:space="preserve">四 计算题 </w:t>
      </w:r>
    </w:p>
    <w:p>
      <w:pPr>
        <w:pStyle w:val="2"/>
        <w:ind w:left="0" w:right="0" w:firstLine="211"/>
      </w:pPr>
      <w:r>
        <w:rPr>
          <w:rFonts w:hint="eastAsia" w:ascii="宋体" w:hAnsi="宋体" w:eastAsia="宋体" w:cs="宋体"/>
          <w:b w:val="0"/>
          <w:sz w:val="21"/>
          <w:szCs w:val="21"/>
          <w:lang w:val="en-US" w:eastAsia="zh-CN"/>
        </w:rPr>
        <w:t>1</w:t>
      </w:r>
      <w:r>
        <w:rPr>
          <w:rFonts w:ascii="宋体" w:hAnsi="宋体" w:eastAsia="宋体" w:cs="宋体"/>
          <w:b w:val="0"/>
          <w:sz w:val="21"/>
          <w:szCs w:val="21"/>
        </w:rPr>
        <w:t xml:space="preserve">. 答案：解：根据题中资料可得：（1）B=R+C=12000 + 8000 = 20000 (亿元) </w:t>
      </w:r>
    </w:p>
    <w:p>
      <w:pPr>
        <w:pStyle w:val="2"/>
      </w:pPr>
      <w:r>
        <w:t>（2）m1=M 1/ B=（C＋D）/ (R+C) =( c +1) / [ rd＋rt×t＋e +c]</w:t>
      </w:r>
    </w:p>
    <w:p>
      <w:pPr>
        <w:pStyle w:val="2"/>
      </w:pPr>
      <w:r>
        <w:t>=(1+0.08) / (0.09 +0.05×0.2 +0.04 +0.08) =54/11=4.9090……≈4.91（3）M1=B m1 =20000×54/11=98181.81818……≈98181.82 (亿元)</w:t>
      </w:r>
    </w:p>
    <w:p>
      <w:pPr>
        <w:pStyle w:val="2"/>
        <w:ind w:left="0" w:right="0" w:firstLine="211"/>
      </w:pPr>
      <w:r>
        <w:rPr>
          <w:rFonts w:hint="eastAsia" w:ascii="宋体" w:hAnsi="宋体" w:eastAsia="宋体" w:cs="宋体"/>
          <w:b w:val="0"/>
          <w:sz w:val="21"/>
          <w:szCs w:val="21"/>
          <w:lang w:val="en-US" w:eastAsia="zh-CN"/>
        </w:rPr>
        <w:t>2</w:t>
      </w:r>
      <w:r>
        <w:rPr>
          <w:rFonts w:ascii="宋体" w:hAnsi="宋体" w:eastAsia="宋体" w:cs="宋体"/>
          <w:b w:val="0"/>
          <w:sz w:val="21"/>
          <w:szCs w:val="21"/>
        </w:rPr>
        <w:t>. 答案：贴现利息=票据面额×贴现利率×票据剩余天数=100000×10%×2/12=1667（元）贴现额=票据面额-贴现利=100000-1667=98333（元）</w:t>
      </w:r>
    </w:p>
    <w:p>
      <w:pPr>
        <w:rPr>
          <w:rFonts w:hint="default" w:ascii="宋体" w:hAnsi="宋体" w:cs="宋体"/>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226A391E"/>
    <w:rsid w:val="002F0B46"/>
    <w:rsid w:val="226A391E"/>
    <w:rsid w:val="35E62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6"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7"/>
    <w:pPr>
      <w:spacing w:before="0" w:after="140" w:line="288" w:lineRule="auto"/>
    </w:pPr>
  </w:style>
  <w:style w:type="paragraph" w:styleId="3">
    <w:name w:val="footer"/>
    <w:basedOn w:val="1"/>
    <w:uiPriority w:val="6"/>
    <w:pPr>
      <w:snapToGrid w:val="0"/>
      <w:jc w:val="left"/>
    </w:pPr>
    <w:rPr>
      <w:sz w:val="18"/>
      <w:szCs w:val="18"/>
    </w:rPr>
  </w:style>
  <w:style w:type="paragraph" w:customStyle="1" w:styleId="6">
    <w:name w:val="Table Contents"/>
    <w:basedOn w:val="1"/>
    <w:qFormat/>
    <w:uiPriority w:val="6"/>
    <w:pPr>
      <w:suppressLineNumber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2022-07-02T05:55:00Z</dcterms:created>
  <dc:creator>温岭育华徐老师18957602802</dc:creator>
  <cp:lastModifiedBy>温岭育华徐老师18957602802</cp:lastModifiedBy>
  <dcterms:modified xsi:type="dcterms:W3CDTF">2022-07-02T05:59:30Z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37D62F4D6A2D4BB6BE0E04190899FBC1</vt:lpwstr>
  </property>
</Properties>
</file>