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D64FDA">
      <w:pPr>
        <w:rPr>
          <w:rFonts w:hint="eastAsia"/>
          <w:lang w:val="en-US" w:eastAsia="zh-CN"/>
        </w:rPr>
      </w:pPr>
      <w:r>
        <w:rPr>
          <w:rFonts w:hint="eastAsia"/>
          <w:lang w:val="en-US" w:eastAsia="zh-CN"/>
        </w:rPr>
        <w:t>高级会计复习资料</w:t>
      </w:r>
    </w:p>
    <w:p w14:paraId="6B177DD8">
      <w:pPr>
        <w:numPr>
          <w:ilvl w:val="0"/>
          <w:numId w:val="1"/>
        </w:numPr>
        <w:spacing w:line="360" w:lineRule="auto"/>
        <w:rPr>
          <w:rFonts w:hint="eastAsia" w:ascii="宋体" w:hAnsi="宋体" w:eastAsia="宋体" w:cs="宋体"/>
          <w:b/>
          <w:bCs/>
          <w:i w:val="0"/>
          <w:iCs w:val="0"/>
          <w:color w:val="auto"/>
          <w:lang w:val="en-US" w:eastAsia="zh-CN"/>
        </w:rPr>
      </w:pPr>
      <w:r>
        <w:rPr>
          <w:rFonts w:hint="eastAsia" w:ascii="宋体" w:hAnsi="宋体" w:eastAsia="宋体" w:cs="宋体"/>
          <w:b/>
          <w:bCs/>
          <w:i w:val="0"/>
          <w:iCs w:val="0"/>
          <w:color w:val="auto"/>
          <w:lang w:val="en-US" w:eastAsia="zh-CN"/>
        </w:rPr>
        <w:t>单项选择题</w:t>
      </w:r>
    </w:p>
    <w:p w14:paraId="45B0572D">
      <w:pPr>
        <w:numPr>
          <w:numId w:val="0"/>
        </w:num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1.下列各项中，不属于债务重组准则规范的债务重组的是（   ）。</w:t>
      </w:r>
    </w:p>
    <w:p w14:paraId="471C57C3">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A. 债务人以低于债务账面价值的现金清偿债务</w:t>
      </w:r>
    </w:p>
    <w:p w14:paraId="61E797B2">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B. 债务人以非现金资产清偿债务</w:t>
      </w:r>
    </w:p>
    <w:p w14:paraId="28BD60C5">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C. 债务人根据转换协议将应付可转换公司债券转为资本</w:t>
      </w:r>
    </w:p>
    <w:p w14:paraId="75C047EE">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D. 债权人同意延长债务偿还期限并减少债务本金</w:t>
      </w:r>
    </w:p>
    <w:p w14:paraId="7D692A44">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2.非货币性资产交换中，换入资产入账价值的确定基础是（   ）。</w:t>
      </w:r>
    </w:p>
    <w:p w14:paraId="45C10188">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A. 换出资产的账面价值</w:t>
      </w:r>
    </w:p>
    <w:p w14:paraId="7C8A21B5">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B. 换入资产的公允价值</w:t>
      </w:r>
    </w:p>
    <w:p w14:paraId="2EB325E5">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C. 换出资产的公允价值与支付的补价（或减去收到的补价）之和（或之差）</w:t>
      </w:r>
    </w:p>
    <w:p w14:paraId="68FA1C69">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D. 换入资产的账面价值</w:t>
      </w:r>
    </w:p>
    <w:p w14:paraId="63F0B436">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3.下列关于股份支付的说法中，不正确的是（   ）。</w:t>
      </w:r>
    </w:p>
    <w:p w14:paraId="791C9D72">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A. 股份支付是企业与职工或其他方之间发生的交易</w:t>
      </w:r>
    </w:p>
    <w:p w14:paraId="54252E27">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B. 股份支付是以获取职工或其他方服务为目的的交易</w:t>
      </w:r>
    </w:p>
    <w:p w14:paraId="59332DD1">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C. 股份支付的对价或其定价与企业自身权益工具未来的价值密切相关</w:t>
      </w:r>
    </w:p>
    <w:p w14:paraId="4533CCDA">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D. 股份支付只能以权益结算的方式进行</w:t>
      </w:r>
    </w:p>
    <w:p w14:paraId="624152F5">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4.企业因交易性金融资产公允价值变动产生的暂时性差异，应确认的递延所得税资产或递延所得税负债计入（   ）。</w:t>
      </w:r>
    </w:p>
    <w:p w14:paraId="1947C8E8">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A. 所得税费用</w:t>
      </w:r>
    </w:p>
    <w:p w14:paraId="106B015B">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B. 其他综合收益</w:t>
      </w:r>
    </w:p>
    <w:p w14:paraId="6171C865">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C. 资本公积</w:t>
      </w:r>
    </w:p>
    <w:p w14:paraId="6324E669">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D. 营业外收入</w:t>
      </w:r>
    </w:p>
    <w:p w14:paraId="45E43AA1">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5.企业发生的下列外币业务中，不会产生汇兑差额的是（   ）。</w:t>
      </w:r>
    </w:p>
    <w:p w14:paraId="2B51452C">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A. 以外币购入存货</w:t>
      </w:r>
    </w:p>
    <w:p w14:paraId="08AE266D">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B. 以外币借款</w:t>
      </w:r>
    </w:p>
    <w:p w14:paraId="768E8B83">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C. 以外币兑换人民币</w:t>
      </w:r>
    </w:p>
    <w:p w14:paraId="7E41D90D">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D. 接受外币投资</w:t>
      </w:r>
    </w:p>
    <w:p w14:paraId="50415AC7">
      <w:pPr>
        <w:spacing w:line="360" w:lineRule="auto"/>
        <w:rPr>
          <w:rFonts w:hint="eastAsia" w:ascii="宋体" w:hAnsi="宋体" w:eastAsia="宋体" w:cs="宋体"/>
          <w:b/>
          <w:bCs/>
          <w:i w:val="0"/>
          <w:iCs w:val="0"/>
          <w:color w:val="auto"/>
          <w:lang w:val="en-US" w:eastAsia="zh-CN"/>
        </w:rPr>
      </w:pPr>
      <w:r>
        <w:rPr>
          <w:rFonts w:hint="eastAsia" w:ascii="宋体" w:hAnsi="宋体" w:eastAsia="宋体" w:cs="宋体"/>
          <w:b/>
          <w:bCs/>
          <w:i w:val="0"/>
          <w:iCs w:val="0"/>
          <w:color w:val="auto"/>
          <w:lang w:val="en-US" w:eastAsia="zh-CN"/>
        </w:rPr>
        <w:t>二、多项选择题</w:t>
      </w:r>
    </w:p>
    <w:p w14:paraId="245C894E">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1.下列各项中，属于债务重组方式的有（   ）。</w:t>
      </w:r>
    </w:p>
    <w:p w14:paraId="3ED9CBE9">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A. 以资产清偿债务  B. 将债务转为权益工具    C. 修改其他条款   D. 组合方式</w:t>
      </w:r>
    </w:p>
    <w:p w14:paraId="23C4DA98">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2.非货币性资产交换中，下列各项中属于非货币性资产的有（   ）。</w:t>
      </w:r>
    </w:p>
    <w:p w14:paraId="43B30009">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A. 固定资产  B. 无形资产  C. 应收账款   D. 交易性金融资产</w:t>
      </w:r>
    </w:p>
    <w:p w14:paraId="3FF6837B">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3.股份支付按照结算方式不同，可以分为（   ）。</w:t>
      </w:r>
    </w:p>
    <w:p w14:paraId="4ACB0796">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A. 权益结算的股份支付          B. 现金结算的股份支付</w:t>
      </w:r>
    </w:p>
    <w:p w14:paraId="5ED87CB2">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C. 以权益工具结算的股份支付    D. 以现金结算的股份支付</w:t>
      </w:r>
    </w:p>
    <w:p w14:paraId="05705496">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4.下列各项中，会产生应纳税暂时性差异的有（   ）。</w:t>
      </w:r>
    </w:p>
    <w:p w14:paraId="363CAF17">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A. 资产的账面价值大于其计税基础      B. 资产的账面价值小于其计税基础</w:t>
      </w:r>
    </w:p>
    <w:p w14:paraId="277BA77E">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C. 负债的账面价值大于其计税基础      D. 负债的账面价值小于其计税基础</w:t>
      </w:r>
    </w:p>
    <w:p w14:paraId="2D6F9D45">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5.企业发生外币交易时，应当将外币金额折算为记账本位币金额。折算时，可采用的汇率有（   ）。</w:t>
      </w:r>
    </w:p>
    <w:p w14:paraId="0948D7E4">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A. 交易发生日的即期汇率              B. 交易发生当期期初的市场汇率</w:t>
      </w:r>
    </w:p>
    <w:p w14:paraId="5B1CDED6">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C. 与交易发生日即期汇率近似的汇率    D. 合同约定的汇率</w:t>
      </w:r>
    </w:p>
    <w:p w14:paraId="41731383">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6.下列各项中，属于租赁特征的有（   ）。</w:t>
      </w:r>
    </w:p>
    <w:p w14:paraId="260CD196">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 xml:space="preserve">A. 存在一定期间    B. 存在已识别资产     </w:t>
      </w:r>
    </w:p>
    <w:p w14:paraId="69A080EE">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 xml:space="preserve">C. 资产供应方向客户转移对已识别资产使用权的控制   </w:t>
      </w:r>
    </w:p>
    <w:p w14:paraId="74EFC050">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D. 资产供应方保留对已识别资产的所有权</w:t>
      </w:r>
    </w:p>
    <w:p w14:paraId="25F8CC53">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7.下列关于债务重组中债权人的会计处理的说法中，正确的有（   ）。</w:t>
      </w:r>
    </w:p>
    <w:p w14:paraId="64FFB0D3">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A. 债权人应当在取得非现金资产时，以其公允价值入账</w:t>
      </w:r>
    </w:p>
    <w:p w14:paraId="00613787">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B. 债权人应将重组债权的账面价值与收到的现金或非现金资产的公允价值之间的差额，计入当期损益</w:t>
      </w:r>
    </w:p>
    <w:p w14:paraId="1271281E">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C. 债权人已对债权计提减值准备的，应当先将该差额冲减减值准备，减值准备不足以冲减的部分，计入当期损益</w:t>
      </w:r>
    </w:p>
    <w:p w14:paraId="46C8E3E0">
      <w:p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D. 债权人收到的非现金资产，应当按照重组债权的账面价值入账</w:t>
      </w:r>
    </w:p>
    <w:p w14:paraId="4FB1B5E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color w:val="auto"/>
        </w:rPr>
      </w:pPr>
      <w:r>
        <w:rPr>
          <w:b/>
          <w:bCs/>
          <w:color w:val="auto"/>
        </w:rPr>
        <w:t>三</w:t>
      </w:r>
      <w:r>
        <w:rPr>
          <w:rFonts w:hint="eastAsia"/>
          <w:b/>
          <w:bCs/>
          <w:color w:val="auto"/>
        </w:rPr>
        <w:t>、</w:t>
      </w:r>
      <w:r>
        <w:rPr>
          <w:rFonts w:hint="eastAsia"/>
          <w:b/>
          <w:bCs/>
          <w:color w:val="auto"/>
          <w:lang w:eastAsia="zh-CN"/>
        </w:rPr>
        <w:t>简答</w:t>
      </w:r>
      <w:r>
        <w:rPr>
          <w:b/>
          <w:bCs/>
          <w:color w:val="auto"/>
        </w:rPr>
        <w:t>题</w:t>
      </w:r>
    </w:p>
    <w:p w14:paraId="3A001BB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1、简述债务重组中债务人以非现金资产清偿债务的会计处理原则。</w:t>
      </w:r>
    </w:p>
    <w:p w14:paraId="751AC785">
      <w:pPr>
        <w:numPr>
          <w:ilvl w:val="0"/>
          <w:numId w:val="2"/>
        </w:numPr>
        <w:spacing w:line="360" w:lineRule="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非货币性资产交换具有商业实质的判断标准是什么？请列举至少 3 项具体判断依据。​</w:t>
      </w:r>
    </w:p>
    <w:p w14:paraId="69C3C049">
      <w:pPr>
        <w:widowControl w:val="0"/>
        <w:numPr>
          <w:ilvl w:val="0"/>
          <w:numId w:val="0"/>
        </w:numPr>
        <w:spacing w:line="360" w:lineRule="auto"/>
        <w:jc w:val="both"/>
        <w:rPr>
          <w:rFonts w:hint="eastAsia" w:ascii="宋体" w:hAnsi="宋体" w:eastAsia="宋体" w:cs="宋体"/>
          <w:b w:val="0"/>
          <w:bCs w:val="0"/>
          <w:i w:val="0"/>
          <w:iCs w:val="0"/>
          <w:color w:val="auto"/>
          <w:lang w:val="en-US" w:eastAsia="zh-CN"/>
        </w:rPr>
      </w:pPr>
    </w:p>
    <w:p w14:paraId="3B3129D8">
      <w:pPr>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四</w:t>
      </w:r>
      <w:r>
        <w:rPr>
          <w:rFonts w:hint="eastAsia" w:ascii="Times New Roman" w:hAnsi="Times New Roman" w:eastAsia="宋体" w:cs="Times New Roman"/>
          <w:b/>
          <w:bCs/>
          <w:color w:val="auto"/>
        </w:rPr>
        <w:t>、业务处理题</w:t>
      </w:r>
    </w:p>
    <w:p w14:paraId="4E66F6F6">
      <w:pPr>
        <w:spacing w:beforeLines="0" w:afterLines="0" w:line="360" w:lineRule="auto"/>
        <w:jc w:val="left"/>
        <w:rPr>
          <w:rFonts w:hint="eastAsia" w:ascii="宋体" w:hAnsi="宋体" w:eastAsia="宋体" w:cs="宋体"/>
          <w:color w:val="auto"/>
          <w:sz w:val="21"/>
          <w:szCs w:val="24"/>
          <w:lang w:val="en-US" w:eastAsia="zh-CN"/>
        </w:rPr>
      </w:pPr>
      <w:r>
        <w:rPr>
          <w:rFonts w:hint="eastAsia" w:ascii="宋体" w:hAnsi="宋体" w:eastAsia="宋体" w:cs="宋体"/>
          <w:color w:val="auto"/>
          <w:sz w:val="21"/>
          <w:szCs w:val="24"/>
          <w:lang w:val="en-US" w:eastAsia="zh-CN"/>
        </w:rPr>
        <w:t>1.甲公司于 2023 年 1 月 1 日销售一批商品给乙公司，价款为 100 万元，增值税税额为 13 万元，款项尚未收到。因乙公司发生财务困难，无法按期偿还债务，双方于 2023 年 12 月 31 日达成债务重组协议：乙公司以一批存货抵偿债务，该批存货的成本为 60 万元，公允价值为 80 万元，增值税税额为 10.4 万元。甲公司已对该债权计提了 10 万元的坏账准备。</w:t>
      </w:r>
    </w:p>
    <w:p w14:paraId="69389AC8">
      <w:pPr>
        <w:spacing w:beforeLines="0" w:afterLines="0" w:line="360" w:lineRule="auto"/>
        <w:jc w:val="left"/>
        <w:rPr>
          <w:rFonts w:hint="eastAsia" w:ascii="宋体" w:hAnsi="宋体" w:eastAsia="宋体" w:cs="宋体"/>
          <w:color w:val="auto"/>
          <w:sz w:val="21"/>
          <w:szCs w:val="24"/>
          <w:lang w:val="en-US" w:eastAsia="zh-CN"/>
        </w:rPr>
      </w:pPr>
      <w:r>
        <w:rPr>
          <w:rFonts w:hint="eastAsia" w:ascii="宋体" w:hAnsi="宋体" w:eastAsia="宋体" w:cs="宋体"/>
          <w:color w:val="auto"/>
          <w:sz w:val="21"/>
          <w:szCs w:val="24"/>
          <w:lang w:val="en-US" w:eastAsia="zh-CN"/>
        </w:rPr>
        <w:t>要求：分别编制甲公司和乙公司债务重组的会计分录。</w:t>
      </w:r>
    </w:p>
    <w:p w14:paraId="79699769">
      <w:pPr>
        <w:spacing w:beforeLines="0" w:afterLines="0"/>
        <w:jc w:val="left"/>
        <w:rPr>
          <w:rFonts w:hint="eastAsia" w:ascii="宋体" w:hAnsi="宋体" w:eastAsia="宋体" w:cs="宋体"/>
          <w:color w:val="auto"/>
          <w:sz w:val="21"/>
          <w:szCs w:val="24"/>
          <w:lang w:val="en-US" w:eastAsia="zh-CN"/>
        </w:rPr>
      </w:pPr>
    </w:p>
    <w:p w14:paraId="730AFFF1">
      <w:pPr>
        <w:spacing w:beforeLines="0" w:afterLines="0"/>
        <w:jc w:val="left"/>
        <w:rPr>
          <w:rFonts w:hint="eastAsia" w:ascii="宋体" w:hAnsi="宋体" w:eastAsia="宋体" w:cs="宋体"/>
          <w:color w:val="auto"/>
          <w:sz w:val="21"/>
          <w:szCs w:val="24"/>
          <w:lang w:val="en-US" w:eastAsia="zh-CN"/>
        </w:rPr>
      </w:pPr>
    </w:p>
    <w:p w14:paraId="2863B7D4">
      <w:pPr>
        <w:spacing w:beforeLines="0" w:afterLines="0"/>
        <w:jc w:val="left"/>
        <w:rPr>
          <w:rFonts w:hint="eastAsia" w:ascii="宋体" w:hAnsi="宋体" w:eastAsia="宋体" w:cs="宋体"/>
          <w:color w:val="auto"/>
          <w:sz w:val="21"/>
          <w:szCs w:val="24"/>
          <w:lang w:val="en-US" w:eastAsia="zh-CN"/>
        </w:rPr>
      </w:pPr>
      <w:r>
        <w:rPr>
          <w:rFonts w:hint="eastAsia" w:ascii="宋体" w:hAnsi="宋体" w:eastAsia="宋体" w:cs="宋体"/>
          <w:color w:val="auto"/>
          <w:sz w:val="21"/>
          <w:szCs w:val="24"/>
          <w:lang w:val="en-US" w:eastAsia="zh-CN"/>
        </w:rPr>
        <w:t>2.A 公司与 B 公司进行非货币性资产交换，有关资料如下：</w:t>
      </w:r>
    </w:p>
    <w:p w14:paraId="2BB1E684">
      <w:pPr>
        <w:spacing w:beforeLines="0" w:afterLines="0"/>
        <w:jc w:val="left"/>
        <w:rPr>
          <w:rFonts w:hint="eastAsia" w:ascii="宋体" w:hAnsi="宋体" w:eastAsia="宋体" w:cs="宋体"/>
          <w:color w:val="auto"/>
          <w:sz w:val="21"/>
          <w:szCs w:val="24"/>
          <w:lang w:val="en-US" w:eastAsia="zh-CN"/>
        </w:rPr>
      </w:pPr>
      <w:r>
        <w:rPr>
          <w:rFonts w:hint="eastAsia" w:ascii="宋体" w:hAnsi="宋体" w:eastAsia="宋体" w:cs="宋体"/>
          <w:color w:val="auto"/>
          <w:sz w:val="21"/>
          <w:szCs w:val="24"/>
          <w:lang w:val="en-US" w:eastAsia="zh-CN"/>
        </w:rPr>
        <w:t>（1）A 公司换出资产：固定资产（设备）一台，原价为 200 万元，累计折旧为 50 万元，公允价值为 160 万元；无形资产（专利权）一项，原价为 100 万元，累计摊销为 20 万元，公允价值为 90 万元。A 公司另向 B 公司支付补价 10 万元。</w:t>
      </w:r>
    </w:p>
    <w:p w14:paraId="6B5CDEB0">
      <w:pPr>
        <w:spacing w:beforeLines="0" w:afterLines="0"/>
        <w:jc w:val="left"/>
        <w:rPr>
          <w:rFonts w:hint="eastAsia" w:ascii="宋体" w:hAnsi="宋体" w:eastAsia="宋体" w:cs="宋体"/>
          <w:color w:val="auto"/>
          <w:sz w:val="21"/>
          <w:szCs w:val="24"/>
          <w:lang w:val="en-US" w:eastAsia="zh-CN"/>
        </w:rPr>
      </w:pPr>
      <w:r>
        <w:rPr>
          <w:rFonts w:hint="eastAsia" w:ascii="宋体" w:hAnsi="宋体" w:eastAsia="宋体" w:cs="宋体"/>
          <w:color w:val="auto"/>
          <w:sz w:val="21"/>
          <w:szCs w:val="24"/>
          <w:lang w:val="en-US" w:eastAsia="zh-CN"/>
        </w:rPr>
        <w:t>（2）B 公司换出资产：库存商品一批，成本为 150 万元，公允价值为 200 万元，增值税税额为 26 万元；交易性金融资产一项，成本为 80 万元，公允价值为 60 万元。</w:t>
      </w:r>
    </w:p>
    <w:p w14:paraId="456303AB">
      <w:pPr>
        <w:spacing w:beforeLines="0" w:afterLines="0"/>
        <w:jc w:val="left"/>
        <w:rPr>
          <w:rFonts w:hint="eastAsia" w:ascii="宋体" w:hAnsi="宋体" w:eastAsia="宋体" w:cs="宋体"/>
          <w:color w:val="auto"/>
          <w:sz w:val="21"/>
          <w:szCs w:val="24"/>
          <w:lang w:val="en-US" w:eastAsia="zh-CN"/>
        </w:rPr>
      </w:pPr>
      <w:r>
        <w:rPr>
          <w:rFonts w:hint="eastAsia" w:ascii="宋体" w:hAnsi="宋体" w:eastAsia="宋体" w:cs="宋体"/>
          <w:color w:val="auto"/>
          <w:sz w:val="21"/>
          <w:szCs w:val="24"/>
          <w:lang w:val="en-US" w:eastAsia="zh-CN"/>
        </w:rPr>
        <w:t>（3）假定该项交换具有商业实质，且换入资产和换出资产的公允价值均能够可靠计量，增值税税率为 13%。</w:t>
      </w:r>
    </w:p>
    <w:p w14:paraId="4EF16C39">
      <w:pPr>
        <w:spacing w:beforeLines="0" w:afterLines="0"/>
        <w:jc w:val="left"/>
        <w:rPr>
          <w:rFonts w:hint="eastAsia" w:ascii="宋体" w:hAnsi="宋体" w:eastAsia="宋体" w:cs="宋体"/>
          <w:color w:val="auto"/>
          <w:sz w:val="21"/>
          <w:szCs w:val="24"/>
          <w:lang w:val="en-US" w:eastAsia="zh-CN"/>
        </w:rPr>
      </w:pPr>
      <w:r>
        <w:rPr>
          <w:rFonts w:hint="eastAsia" w:ascii="宋体" w:hAnsi="宋体" w:eastAsia="宋体" w:cs="宋体"/>
          <w:color w:val="auto"/>
          <w:sz w:val="21"/>
          <w:szCs w:val="24"/>
          <w:lang w:val="en-US" w:eastAsia="zh-CN"/>
        </w:rPr>
        <w:t>要求：分别编制 A 公司和 B 公司非货币性资产交换的会计分录。</w:t>
      </w:r>
    </w:p>
    <w:p w14:paraId="77778021">
      <w:pPr>
        <w:spacing w:beforeLines="0" w:afterLines="0"/>
        <w:jc w:val="left"/>
        <w:rPr>
          <w:rFonts w:hint="eastAsia" w:ascii="宋体" w:hAnsi="宋体" w:eastAsia="宋体" w:cs="宋体"/>
          <w:color w:val="auto"/>
          <w:sz w:val="21"/>
          <w:szCs w:val="24"/>
          <w:lang w:val="en-US" w:eastAsia="zh-CN"/>
        </w:rPr>
      </w:pPr>
    </w:p>
    <w:p w14:paraId="53FC4744">
      <w:pPr>
        <w:spacing w:beforeLines="0" w:afterLines="0"/>
        <w:jc w:val="left"/>
        <w:rPr>
          <w:rFonts w:hint="eastAsia" w:ascii="宋体" w:hAnsi="宋体" w:eastAsia="宋体" w:cs="宋体"/>
          <w:color w:val="auto"/>
          <w:sz w:val="21"/>
          <w:szCs w:val="24"/>
          <w:lang w:val="en-US" w:eastAsia="zh-CN"/>
        </w:rPr>
      </w:pPr>
    </w:p>
    <w:p w14:paraId="510CB6FF">
      <w:pPr>
        <w:spacing w:beforeLines="0" w:afterLines="0"/>
        <w:jc w:val="left"/>
        <w:rPr>
          <w:rFonts w:hint="eastAsia" w:ascii="宋体" w:hAnsi="宋体" w:eastAsia="宋体" w:cs="宋体"/>
          <w:color w:val="auto"/>
          <w:sz w:val="21"/>
          <w:szCs w:val="24"/>
          <w:lang w:val="en-US" w:eastAsia="zh-CN"/>
        </w:rPr>
      </w:pPr>
    </w:p>
    <w:p w14:paraId="3537CF75">
      <w:pPr>
        <w:spacing w:beforeLines="0" w:afterLines="0"/>
        <w:jc w:val="left"/>
        <w:rPr>
          <w:rFonts w:hint="eastAsia" w:ascii="宋体" w:hAnsi="宋体" w:eastAsia="宋体" w:cs="宋体"/>
          <w:color w:val="auto"/>
          <w:sz w:val="21"/>
          <w:szCs w:val="24"/>
          <w:lang w:val="en-US" w:eastAsia="zh-CN"/>
        </w:rPr>
      </w:pPr>
      <w:r>
        <w:rPr>
          <w:rFonts w:hint="eastAsia" w:ascii="宋体" w:hAnsi="宋体" w:eastAsia="宋体" w:cs="宋体"/>
          <w:color w:val="auto"/>
          <w:sz w:val="21"/>
          <w:szCs w:val="24"/>
          <w:lang w:val="en-US" w:eastAsia="zh-CN"/>
        </w:rPr>
        <w:t>3.C 公司 2023 年度实现会计利润 1000 万元，所得税税率为 25%。该公司 2023 年度发生的有关交易和事项中，会计处理与税收处理存在差异的有：</w:t>
      </w:r>
    </w:p>
    <w:p w14:paraId="2CC9EAE8">
      <w:pPr>
        <w:spacing w:beforeLines="0" w:afterLines="0"/>
        <w:jc w:val="left"/>
        <w:rPr>
          <w:rFonts w:hint="eastAsia" w:ascii="宋体" w:hAnsi="宋体" w:eastAsia="宋体" w:cs="宋体"/>
          <w:color w:val="auto"/>
          <w:sz w:val="21"/>
          <w:szCs w:val="24"/>
          <w:lang w:val="en-US" w:eastAsia="zh-CN"/>
        </w:rPr>
      </w:pPr>
      <w:r>
        <w:rPr>
          <w:rFonts w:hint="eastAsia" w:ascii="宋体" w:hAnsi="宋体" w:eastAsia="宋体" w:cs="宋体"/>
          <w:color w:val="auto"/>
          <w:sz w:val="21"/>
          <w:szCs w:val="24"/>
          <w:lang w:val="en-US" w:eastAsia="zh-CN"/>
        </w:rPr>
        <w:t>（1）2023 年 1 月 1 日，以 200 万元购入一项固定资产，会计上采用直线法计提折旧，预计使用年限为 5 年，预计净残值为 0；税收上采用双倍余额递减法计提折旧，预计使用年限为 5 年，预计净残值为 0。</w:t>
      </w:r>
    </w:p>
    <w:p w14:paraId="30433C36">
      <w:pPr>
        <w:spacing w:beforeLines="0" w:afterLines="0"/>
        <w:jc w:val="left"/>
        <w:rPr>
          <w:rFonts w:hint="eastAsia" w:ascii="宋体" w:hAnsi="宋体" w:eastAsia="宋体" w:cs="宋体"/>
          <w:color w:val="auto"/>
          <w:sz w:val="21"/>
          <w:szCs w:val="24"/>
          <w:lang w:val="en-US" w:eastAsia="zh-CN"/>
        </w:rPr>
      </w:pPr>
      <w:r>
        <w:rPr>
          <w:rFonts w:hint="eastAsia" w:ascii="宋体" w:hAnsi="宋体" w:eastAsia="宋体" w:cs="宋体"/>
          <w:color w:val="auto"/>
          <w:sz w:val="21"/>
          <w:szCs w:val="24"/>
          <w:lang w:val="en-US" w:eastAsia="zh-CN"/>
        </w:rPr>
        <w:t>（2）2023 年 12 月 31 日，交易性金融资产的公允价值为 300 万元，其成本为 200 万元。</w:t>
      </w:r>
    </w:p>
    <w:p w14:paraId="12BF57E7">
      <w:pPr>
        <w:spacing w:beforeLines="0" w:afterLines="0"/>
        <w:jc w:val="left"/>
        <w:rPr>
          <w:rFonts w:hint="eastAsia" w:ascii="宋体" w:hAnsi="宋体" w:eastAsia="宋体" w:cs="宋体"/>
          <w:color w:val="auto"/>
          <w:sz w:val="21"/>
          <w:szCs w:val="24"/>
          <w:lang w:val="en-US" w:eastAsia="zh-CN"/>
        </w:rPr>
      </w:pPr>
      <w:r>
        <w:rPr>
          <w:rFonts w:hint="eastAsia" w:ascii="宋体" w:hAnsi="宋体" w:eastAsia="宋体" w:cs="宋体"/>
          <w:color w:val="auto"/>
          <w:sz w:val="21"/>
          <w:szCs w:val="24"/>
          <w:lang w:val="en-US" w:eastAsia="zh-CN"/>
        </w:rPr>
        <w:t>（3）2023 年 12 月 31 日，存货的账面余额为 100 万元，计提的存货跌价准备为 20 万元。</w:t>
      </w:r>
    </w:p>
    <w:p w14:paraId="520FA0B8">
      <w:pPr>
        <w:spacing w:beforeLines="0" w:afterLines="0"/>
        <w:jc w:val="left"/>
        <w:rPr>
          <w:rFonts w:hint="eastAsia" w:ascii="宋体" w:hAnsi="宋体" w:eastAsia="宋体" w:cs="宋体"/>
          <w:color w:val="auto"/>
          <w:sz w:val="21"/>
          <w:szCs w:val="24"/>
          <w:lang w:val="en-US" w:eastAsia="zh-CN"/>
        </w:rPr>
      </w:pPr>
      <w:r>
        <w:rPr>
          <w:rFonts w:hint="eastAsia" w:ascii="宋体" w:hAnsi="宋体" w:eastAsia="宋体" w:cs="宋体"/>
          <w:color w:val="auto"/>
          <w:sz w:val="21"/>
          <w:szCs w:val="24"/>
          <w:lang w:val="en-US" w:eastAsia="zh-CN"/>
        </w:rPr>
        <w:t>要求：（1）计算 2023 年度应纳税所得额和应交所得税；（2）计算 2023 年度递延所得税资产和递延所得税负债的发生额；（3）编制 2023 年度所得税费用的会计分录。</w:t>
      </w:r>
    </w:p>
    <w:p w14:paraId="0AB597DB">
      <w:pPr>
        <w:spacing w:line="360" w:lineRule="auto"/>
        <w:rPr>
          <w:rFonts w:hint="default" w:ascii="宋体" w:hAnsi="宋体" w:eastAsia="宋体" w:cs="宋体"/>
          <w:b/>
          <w:bCs/>
          <w:i w:val="0"/>
          <w:iCs w:val="0"/>
          <w:color w:val="auto"/>
          <w:lang w:val="en-US" w:eastAsia="zh-CN"/>
        </w:rPr>
      </w:pPr>
    </w:p>
    <w:p w14:paraId="3AA3E066">
      <w:pPr>
        <w:spacing w:line="360" w:lineRule="auto"/>
        <w:rPr>
          <w:rFonts w:hint="default" w:ascii="宋体" w:hAnsi="宋体" w:eastAsia="宋体" w:cs="宋体"/>
          <w:b/>
          <w:bCs/>
          <w:i w:val="0"/>
          <w:iCs w:val="0"/>
          <w:color w:val="auto"/>
          <w:lang w:val="en-US" w:eastAsia="zh-CN"/>
        </w:rPr>
      </w:pPr>
      <w:r>
        <w:rPr>
          <w:rFonts w:hint="eastAsia" w:ascii="宋体" w:hAnsi="宋体" w:eastAsia="宋体" w:cs="宋体"/>
          <w:b/>
          <w:bCs/>
          <w:i w:val="0"/>
          <w:iCs w:val="0"/>
          <w:color w:val="auto"/>
          <w:lang w:val="en-US" w:eastAsia="zh-CN"/>
        </w:rPr>
        <w:t>答案</w:t>
      </w:r>
    </w:p>
    <w:p w14:paraId="486F19C1">
      <w:pPr>
        <w:spacing w:line="360" w:lineRule="auto"/>
        <w:rPr>
          <w:rFonts w:hint="eastAsia" w:ascii="宋体" w:hAnsi="宋体" w:eastAsia="宋体" w:cs="宋体"/>
          <w:b/>
          <w:bCs/>
          <w:i w:val="0"/>
          <w:iCs w:val="0"/>
          <w:color w:val="auto"/>
          <w:lang w:val="en-US" w:eastAsia="zh-CN"/>
        </w:rPr>
      </w:pPr>
      <w:r>
        <w:rPr>
          <w:rFonts w:hint="eastAsia" w:ascii="宋体" w:hAnsi="宋体" w:eastAsia="宋体" w:cs="宋体"/>
          <w:b/>
          <w:bCs/>
          <w:i w:val="0"/>
          <w:iCs w:val="0"/>
          <w:color w:val="auto"/>
          <w:lang w:val="en-US" w:eastAsia="zh-CN"/>
        </w:rPr>
        <w:t>一、单项选择题</w:t>
      </w:r>
    </w:p>
    <w:p w14:paraId="32552A1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 xml:space="preserve">CCDAD  </w:t>
      </w:r>
    </w:p>
    <w:p w14:paraId="2BE6F288">
      <w:pPr>
        <w:spacing w:line="360" w:lineRule="auto"/>
        <w:rPr>
          <w:rFonts w:hint="eastAsia" w:ascii="宋体" w:hAnsi="宋体" w:eastAsia="宋体" w:cs="宋体"/>
          <w:b/>
          <w:bCs/>
          <w:i w:val="0"/>
          <w:iCs w:val="0"/>
          <w:color w:val="auto"/>
          <w:lang w:val="en-US" w:eastAsia="zh-CN"/>
        </w:rPr>
      </w:pPr>
      <w:r>
        <w:rPr>
          <w:rFonts w:hint="eastAsia" w:ascii="宋体" w:hAnsi="宋体" w:eastAsia="宋体" w:cs="宋体"/>
          <w:b/>
          <w:bCs/>
          <w:i w:val="0"/>
          <w:iCs w:val="0"/>
          <w:color w:val="auto"/>
          <w:lang w:val="en-US" w:eastAsia="zh-CN"/>
        </w:rPr>
        <w:t>二、多项选择题（每题2分，共20分）</w:t>
      </w:r>
    </w:p>
    <w:p w14:paraId="0584DFA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1.ABCD</w:t>
      </w:r>
    </w:p>
    <w:p w14:paraId="3D7AED9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2.ABD</w:t>
      </w:r>
    </w:p>
    <w:p w14:paraId="6DA3283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3.AB</w:t>
      </w:r>
    </w:p>
    <w:p w14:paraId="3280A60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4.AD</w:t>
      </w:r>
    </w:p>
    <w:p w14:paraId="68E0A2F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5.AC</w:t>
      </w:r>
    </w:p>
    <w:p w14:paraId="7B8CC67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6.ABC</w:t>
      </w:r>
    </w:p>
    <w:p w14:paraId="5C73618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i w:val="0"/>
          <w:iCs w:val="0"/>
          <w:color w:val="auto"/>
          <w:lang w:val="en-US" w:eastAsia="zh-CN"/>
        </w:rPr>
      </w:pPr>
      <w:r>
        <w:rPr>
          <w:rFonts w:hint="eastAsia" w:ascii="宋体" w:hAnsi="宋体" w:eastAsia="宋体" w:cs="宋体"/>
          <w:b w:val="0"/>
          <w:bCs w:val="0"/>
          <w:i w:val="0"/>
          <w:iCs w:val="0"/>
          <w:color w:val="auto"/>
          <w:lang w:val="en-US" w:eastAsia="zh-CN"/>
        </w:rPr>
        <w:t>7.ABC</w:t>
      </w:r>
    </w:p>
    <w:p w14:paraId="51FD1B7A">
      <w:pPr>
        <w:spacing w:line="360" w:lineRule="auto"/>
        <w:rPr>
          <w:rFonts w:hint="eastAsia"/>
          <w:b/>
          <w:bCs/>
          <w:color w:val="auto"/>
        </w:rPr>
      </w:pPr>
      <w:r>
        <w:rPr>
          <w:b/>
          <w:bCs/>
          <w:color w:val="auto"/>
        </w:rPr>
        <w:t>三</w:t>
      </w:r>
      <w:r>
        <w:rPr>
          <w:rFonts w:hint="eastAsia"/>
          <w:b/>
          <w:bCs/>
          <w:color w:val="auto"/>
        </w:rPr>
        <w:t>、</w:t>
      </w:r>
      <w:r>
        <w:rPr>
          <w:b/>
          <w:bCs/>
          <w:color w:val="auto"/>
        </w:rPr>
        <w:t>简</w:t>
      </w:r>
      <w:r>
        <w:rPr>
          <w:rFonts w:hint="eastAsia"/>
          <w:b/>
          <w:bCs/>
          <w:color w:val="auto"/>
          <w:lang w:val="en-US" w:eastAsia="zh-CN"/>
        </w:rPr>
        <w:t>答</w:t>
      </w:r>
      <w:r>
        <w:rPr>
          <w:b/>
          <w:bCs/>
          <w:color w:val="auto"/>
        </w:rPr>
        <w:t>题</w:t>
      </w:r>
    </w:p>
    <w:p w14:paraId="6BFDC092">
      <w:pPr>
        <w:numPr>
          <w:ilvl w:val="0"/>
          <w:numId w:val="0"/>
        </w:numPr>
        <w:spacing w:beforeLines="0" w:afterLines="0" w:line="360" w:lineRule="auto"/>
        <w:jc w:val="left"/>
        <w:rPr>
          <w:rFonts w:hint="eastAsia"/>
          <w:color w:val="auto"/>
          <w:lang w:val="en-US" w:eastAsia="zh-CN"/>
        </w:rPr>
      </w:pPr>
      <w:r>
        <w:rPr>
          <w:rFonts w:hint="eastAsia"/>
          <w:color w:val="auto"/>
          <w:lang w:val="en-US" w:eastAsia="zh-CN"/>
        </w:rPr>
        <w:t>1、债务人以非现金资产清偿债务的会计处理原则如下：​</w:t>
      </w:r>
    </w:p>
    <w:p w14:paraId="750AC7F0">
      <w:pPr>
        <w:numPr>
          <w:ilvl w:val="0"/>
          <w:numId w:val="0"/>
        </w:numPr>
        <w:spacing w:beforeLines="0" w:afterLines="0" w:line="360" w:lineRule="auto"/>
        <w:jc w:val="left"/>
        <w:rPr>
          <w:rFonts w:hint="eastAsia"/>
          <w:color w:val="auto"/>
          <w:lang w:val="en-US" w:eastAsia="zh-CN"/>
        </w:rPr>
      </w:pPr>
      <w:r>
        <w:rPr>
          <w:rFonts w:hint="eastAsia"/>
          <w:color w:val="auto"/>
          <w:lang w:val="en-US" w:eastAsia="zh-CN"/>
        </w:rPr>
        <w:t>（1）确定非现金资产的公允价值：作为债务清偿的对价，公允价值优先采用活跃市场报价，无活跃市场的按估值技术确定；​</w:t>
      </w:r>
    </w:p>
    <w:p w14:paraId="3A3CFA70">
      <w:pPr>
        <w:numPr>
          <w:ilvl w:val="0"/>
          <w:numId w:val="0"/>
        </w:numPr>
        <w:spacing w:beforeLines="0" w:afterLines="0" w:line="360" w:lineRule="auto"/>
        <w:jc w:val="left"/>
        <w:rPr>
          <w:rFonts w:hint="eastAsia"/>
          <w:color w:val="auto"/>
          <w:lang w:val="en-US" w:eastAsia="zh-CN"/>
        </w:rPr>
      </w:pPr>
      <w:r>
        <w:rPr>
          <w:rFonts w:hint="eastAsia"/>
          <w:color w:val="auto"/>
          <w:lang w:val="en-US" w:eastAsia="zh-CN"/>
        </w:rPr>
        <w:t>（2）确认相关损益：债务账面价值与非现金资产公允价值及相关税费（如增值税销项税额）的差额，计入 “其他收益 —— 债务重组收益”；​</w:t>
      </w:r>
    </w:p>
    <w:p w14:paraId="470AB103">
      <w:pPr>
        <w:numPr>
          <w:ilvl w:val="0"/>
          <w:numId w:val="0"/>
        </w:numPr>
        <w:spacing w:beforeLines="0" w:afterLines="0" w:line="360" w:lineRule="auto"/>
        <w:jc w:val="left"/>
        <w:rPr>
          <w:rFonts w:hint="eastAsia"/>
          <w:color w:val="auto"/>
          <w:lang w:val="en-US" w:eastAsia="zh-CN"/>
        </w:rPr>
      </w:pPr>
      <w:r>
        <w:rPr>
          <w:rFonts w:hint="eastAsia"/>
          <w:color w:val="auto"/>
          <w:lang w:val="en-US" w:eastAsia="zh-CN"/>
        </w:rPr>
        <w:t>（3）结转非现金资产账面价值：按非现金资产的账面价值结转成本（如存货结转主营业务成本、固定资产结转固定资产清理），公允价值与账面价值的差额计入当期损益（如资产处置损益、主营业务收入等）；​</w:t>
      </w:r>
    </w:p>
    <w:p w14:paraId="705FE256">
      <w:pPr>
        <w:numPr>
          <w:ilvl w:val="0"/>
          <w:numId w:val="0"/>
        </w:numPr>
        <w:spacing w:beforeLines="0" w:afterLines="0" w:line="360" w:lineRule="auto"/>
        <w:jc w:val="left"/>
        <w:rPr>
          <w:rFonts w:hint="eastAsia"/>
          <w:color w:val="auto"/>
          <w:lang w:val="en-US" w:eastAsia="zh-CN"/>
        </w:rPr>
      </w:pPr>
      <w:r>
        <w:rPr>
          <w:rFonts w:hint="eastAsia"/>
          <w:color w:val="auto"/>
          <w:lang w:val="en-US" w:eastAsia="zh-CN"/>
        </w:rPr>
        <w:t>（4）涉及增值税的：按公允价值计算销项税额，计入债务清偿金额。​</w:t>
      </w:r>
    </w:p>
    <w:p w14:paraId="0614EB4D">
      <w:pPr>
        <w:numPr>
          <w:ilvl w:val="0"/>
          <w:numId w:val="0"/>
        </w:numPr>
        <w:spacing w:beforeLines="0" w:afterLines="0" w:line="360" w:lineRule="auto"/>
        <w:jc w:val="left"/>
        <w:rPr>
          <w:rFonts w:hint="eastAsia"/>
          <w:color w:val="auto"/>
          <w:lang w:val="en-US" w:eastAsia="zh-CN"/>
        </w:rPr>
      </w:pPr>
    </w:p>
    <w:p w14:paraId="600FA7A9">
      <w:pPr>
        <w:numPr>
          <w:ilvl w:val="0"/>
          <w:numId w:val="0"/>
        </w:numPr>
        <w:spacing w:beforeLines="0" w:afterLines="0" w:line="360" w:lineRule="auto"/>
        <w:jc w:val="left"/>
        <w:rPr>
          <w:rFonts w:hint="eastAsia"/>
          <w:color w:val="auto"/>
          <w:lang w:val="en-US" w:eastAsia="zh-CN"/>
        </w:rPr>
      </w:pPr>
      <w:r>
        <w:rPr>
          <w:rFonts w:hint="eastAsia"/>
          <w:color w:val="auto"/>
          <w:lang w:val="en-US" w:eastAsia="zh-CN"/>
        </w:rPr>
        <w:t>2、非货币性资产交换具有商业实质的判断标准是 “换入资产的未来现金流量在风险、时间分布或金额方面与换出资产显著不同，或者换入资产与换出资产的预计未来现金流量现值不同，且其差额与换入资产和换出资产的公允价值相比是重大的”。​</w:t>
      </w:r>
    </w:p>
    <w:p w14:paraId="7EC194E6">
      <w:pPr>
        <w:numPr>
          <w:ilvl w:val="0"/>
          <w:numId w:val="0"/>
        </w:numPr>
        <w:spacing w:beforeLines="0" w:afterLines="0" w:line="360" w:lineRule="auto"/>
        <w:jc w:val="left"/>
        <w:rPr>
          <w:rFonts w:hint="eastAsia"/>
          <w:color w:val="auto"/>
          <w:lang w:val="en-US" w:eastAsia="zh-CN"/>
        </w:rPr>
      </w:pPr>
      <w:r>
        <w:rPr>
          <w:rFonts w:hint="eastAsia"/>
          <w:color w:val="auto"/>
          <w:lang w:val="en-US" w:eastAsia="zh-CN"/>
        </w:rPr>
        <w:t>具体判断依据包括（列举 3 项及以上即可）：​</w:t>
      </w:r>
    </w:p>
    <w:p w14:paraId="4CF8C1FE">
      <w:pPr>
        <w:numPr>
          <w:ilvl w:val="0"/>
          <w:numId w:val="0"/>
        </w:numPr>
        <w:spacing w:beforeLines="0" w:afterLines="0" w:line="360" w:lineRule="auto"/>
        <w:jc w:val="left"/>
        <w:rPr>
          <w:rFonts w:hint="eastAsia"/>
          <w:color w:val="auto"/>
          <w:lang w:val="en-US" w:eastAsia="zh-CN"/>
        </w:rPr>
      </w:pPr>
      <w:r>
        <w:rPr>
          <w:rFonts w:hint="eastAsia"/>
          <w:color w:val="auto"/>
          <w:lang w:val="en-US" w:eastAsia="zh-CN"/>
        </w:rPr>
        <w:t>（1）换入资产的用途与换出资产显著不同（如用设备换办公楼，用于生产 vs 用于办公）；​</w:t>
      </w:r>
    </w:p>
    <w:p w14:paraId="51E67705">
      <w:pPr>
        <w:numPr>
          <w:ilvl w:val="0"/>
          <w:numId w:val="0"/>
        </w:numPr>
        <w:spacing w:beforeLines="0" w:afterLines="0" w:line="360" w:lineRule="auto"/>
        <w:jc w:val="left"/>
        <w:rPr>
          <w:rFonts w:hint="eastAsia"/>
          <w:color w:val="auto"/>
          <w:lang w:val="en-US" w:eastAsia="zh-CN"/>
        </w:rPr>
      </w:pPr>
      <w:r>
        <w:rPr>
          <w:rFonts w:hint="eastAsia"/>
          <w:color w:val="auto"/>
          <w:lang w:val="en-US" w:eastAsia="zh-CN"/>
        </w:rPr>
        <w:t>（2）换入资产产生的现金流量风险与换出资产不同（如用固定收益类金融资产换权益类金融资产）；​</w:t>
      </w:r>
    </w:p>
    <w:p w14:paraId="2296FC6A">
      <w:pPr>
        <w:numPr>
          <w:ilvl w:val="0"/>
          <w:numId w:val="0"/>
        </w:numPr>
        <w:spacing w:beforeLines="0" w:afterLines="0" w:line="360" w:lineRule="auto"/>
        <w:jc w:val="left"/>
        <w:rPr>
          <w:rFonts w:hint="eastAsia"/>
          <w:color w:val="auto"/>
          <w:lang w:val="en-US" w:eastAsia="zh-CN"/>
        </w:rPr>
      </w:pPr>
      <w:r>
        <w:rPr>
          <w:rFonts w:hint="eastAsia"/>
          <w:color w:val="auto"/>
          <w:lang w:val="en-US" w:eastAsia="zh-CN"/>
        </w:rPr>
        <w:t>（3）换入资产的现金流量时间分布与换出资产不同（如用短期存货换长期股权投资）；​</w:t>
      </w:r>
    </w:p>
    <w:p w14:paraId="06E61FC3">
      <w:pPr>
        <w:numPr>
          <w:ilvl w:val="0"/>
          <w:numId w:val="0"/>
        </w:numPr>
        <w:spacing w:beforeLines="0" w:afterLines="0" w:line="360" w:lineRule="auto"/>
        <w:jc w:val="left"/>
        <w:rPr>
          <w:rFonts w:hint="eastAsia"/>
          <w:color w:val="auto"/>
          <w:lang w:val="en-US" w:eastAsia="zh-CN"/>
        </w:rPr>
      </w:pPr>
      <w:r>
        <w:rPr>
          <w:rFonts w:hint="eastAsia"/>
          <w:color w:val="auto"/>
          <w:lang w:val="en-US" w:eastAsia="zh-CN"/>
        </w:rPr>
        <w:t>（4）换入资产与换出资产的预计未来现金流量现值差额重大（通常指差额占公允价值总额的比例≥10%）；​</w:t>
      </w:r>
    </w:p>
    <w:p w14:paraId="47CC5EAD">
      <w:pPr>
        <w:numPr>
          <w:ilvl w:val="0"/>
          <w:numId w:val="0"/>
        </w:numPr>
        <w:spacing w:beforeLines="0" w:afterLines="0" w:line="360" w:lineRule="auto"/>
        <w:jc w:val="left"/>
        <w:rPr>
          <w:rFonts w:hint="eastAsia"/>
          <w:color w:val="auto"/>
          <w:lang w:val="en-US" w:eastAsia="zh-CN"/>
        </w:rPr>
      </w:pPr>
      <w:r>
        <w:rPr>
          <w:rFonts w:hint="eastAsia"/>
          <w:color w:val="auto"/>
          <w:lang w:val="en-US" w:eastAsia="zh-CN"/>
        </w:rPr>
        <w:t>（5）换入资产与换出资产属于不同类别且公允价值能够可靠计量。​</w:t>
      </w:r>
    </w:p>
    <w:p w14:paraId="5BCB2F0E">
      <w:pPr>
        <w:spacing w:line="360" w:lineRule="auto"/>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四</w:t>
      </w:r>
      <w:r>
        <w:rPr>
          <w:rFonts w:hint="eastAsia" w:ascii="Times New Roman" w:hAnsi="Times New Roman" w:eastAsia="宋体" w:cs="Times New Roman"/>
          <w:b/>
          <w:bCs/>
          <w:color w:val="auto"/>
        </w:rPr>
        <w:t>、业务处理题</w:t>
      </w:r>
    </w:p>
    <w:p w14:paraId="52A1623D">
      <w:pPr>
        <w:spacing w:line="360" w:lineRule="auto"/>
        <w:rPr>
          <w:rFonts w:hint="default"/>
          <w:color w:val="auto"/>
          <w:lang w:val="en-US" w:eastAsia="zh-CN"/>
        </w:rPr>
      </w:pPr>
      <w:r>
        <w:rPr>
          <w:rFonts w:hint="eastAsia"/>
          <w:color w:val="auto"/>
          <w:lang w:val="en-US" w:eastAsia="zh-CN"/>
        </w:rPr>
        <w:t>1、</w:t>
      </w:r>
      <w:r>
        <w:rPr>
          <w:rFonts w:hint="default"/>
          <w:color w:val="auto"/>
          <w:lang w:val="en-US" w:eastAsia="zh-CN"/>
        </w:rPr>
        <w:t>​</w:t>
      </w:r>
    </w:p>
    <w:p w14:paraId="194C5E41">
      <w:pPr>
        <w:spacing w:line="360" w:lineRule="auto"/>
        <w:rPr>
          <w:rFonts w:hint="default"/>
          <w:color w:val="auto"/>
          <w:lang w:val="en-US" w:eastAsia="zh-CN"/>
        </w:rPr>
      </w:pPr>
      <w:r>
        <w:rPr>
          <w:rFonts w:hint="default"/>
          <w:color w:val="auto"/>
          <w:lang w:val="en-US" w:eastAsia="zh-CN"/>
        </w:rPr>
        <w:t>甲公司（债权人）会计分录：​</w:t>
      </w:r>
    </w:p>
    <w:p w14:paraId="683A6A5C">
      <w:pPr>
        <w:spacing w:line="360" w:lineRule="auto"/>
        <w:rPr>
          <w:rFonts w:hint="default"/>
          <w:color w:val="auto"/>
          <w:lang w:val="en-US" w:eastAsia="zh-CN"/>
        </w:rPr>
      </w:pPr>
      <w:r>
        <w:rPr>
          <w:rFonts w:hint="default"/>
          <w:color w:val="auto"/>
          <w:lang w:val="en-US" w:eastAsia="zh-CN"/>
        </w:rPr>
        <w:t>借：库存商品 80​</w:t>
      </w:r>
    </w:p>
    <w:p w14:paraId="52A73427">
      <w:pPr>
        <w:spacing w:line="360" w:lineRule="auto"/>
        <w:rPr>
          <w:rFonts w:hint="default"/>
          <w:color w:val="auto"/>
          <w:lang w:val="en-US" w:eastAsia="zh-CN"/>
        </w:rPr>
      </w:pPr>
      <w:r>
        <w:rPr>
          <w:rFonts w:hint="default"/>
          <w:color w:val="auto"/>
          <w:lang w:val="en-US" w:eastAsia="zh-CN"/>
        </w:rPr>
        <w:t>应交税费 —— 应交增值税（进项税额）10.4​</w:t>
      </w:r>
    </w:p>
    <w:p w14:paraId="254095DD">
      <w:pPr>
        <w:spacing w:line="360" w:lineRule="auto"/>
        <w:rPr>
          <w:rFonts w:hint="default"/>
          <w:color w:val="auto"/>
          <w:lang w:val="en-US" w:eastAsia="zh-CN"/>
        </w:rPr>
      </w:pPr>
      <w:r>
        <w:rPr>
          <w:rFonts w:hint="default"/>
          <w:color w:val="auto"/>
          <w:lang w:val="en-US" w:eastAsia="zh-CN"/>
        </w:rPr>
        <w:t>坏账准备 10​</w:t>
      </w:r>
    </w:p>
    <w:p w14:paraId="1C1BA97A">
      <w:pPr>
        <w:spacing w:line="360" w:lineRule="auto"/>
        <w:rPr>
          <w:rFonts w:hint="default"/>
          <w:color w:val="auto"/>
          <w:lang w:val="en-US" w:eastAsia="zh-CN"/>
        </w:rPr>
      </w:pPr>
      <w:r>
        <w:rPr>
          <w:rFonts w:hint="default"/>
          <w:color w:val="auto"/>
          <w:lang w:val="en-US" w:eastAsia="zh-CN"/>
        </w:rPr>
        <w:t>投资收益 12.6（113 - 80 - 10.4 - 10）​</w:t>
      </w:r>
    </w:p>
    <w:p w14:paraId="56711652">
      <w:pPr>
        <w:spacing w:line="360" w:lineRule="auto"/>
        <w:rPr>
          <w:rFonts w:hint="default"/>
          <w:color w:val="auto"/>
          <w:lang w:val="en-US" w:eastAsia="zh-CN"/>
        </w:rPr>
      </w:pPr>
      <w:r>
        <w:rPr>
          <w:rFonts w:hint="default"/>
          <w:color w:val="auto"/>
          <w:lang w:val="en-US" w:eastAsia="zh-CN"/>
        </w:rPr>
        <w:t>贷：应收账款 113 （6 分）​</w:t>
      </w:r>
    </w:p>
    <w:p w14:paraId="6128709C">
      <w:pPr>
        <w:spacing w:line="360" w:lineRule="auto"/>
        <w:rPr>
          <w:rFonts w:hint="default"/>
          <w:color w:val="auto"/>
          <w:lang w:val="en-US" w:eastAsia="zh-CN"/>
        </w:rPr>
      </w:pPr>
      <w:r>
        <w:rPr>
          <w:rFonts w:hint="default"/>
          <w:color w:val="auto"/>
          <w:lang w:val="en-US" w:eastAsia="zh-CN"/>
        </w:rPr>
        <w:t>乙公司（债务人）会计分录：​</w:t>
      </w:r>
    </w:p>
    <w:p w14:paraId="33CD91E9">
      <w:pPr>
        <w:spacing w:line="360" w:lineRule="auto"/>
        <w:rPr>
          <w:rFonts w:hint="default"/>
          <w:color w:val="auto"/>
          <w:lang w:val="en-US" w:eastAsia="zh-CN"/>
        </w:rPr>
      </w:pPr>
      <w:r>
        <w:rPr>
          <w:rFonts w:hint="default"/>
          <w:color w:val="auto"/>
          <w:lang w:val="en-US" w:eastAsia="zh-CN"/>
        </w:rPr>
        <w:t>借：应付账款 113​</w:t>
      </w:r>
    </w:p>
    <w:p w14:paraId="51E1968B">
      <w:pPr>
        <w:spacing w:line="360" w:lineRule="auto"/>
        <w:rPr>
          <w:rFonts w:hint="default"/>
          <w:color w:val="auto"/>
          <w:lang w:val="en-US" w:eastAsia="zh-CN"/>
        </w:rPr>
      </w:pPr>
      <w:r>
        <w:rPr>
          <w:rFonts w:hint="default"/>
          <w:color w:val="auto"/>
          <w:lang w:val="en-US" w:eastAsia="zh-CN"/>
        </w:rPr>
        <w:t>贷：主营业务收入 80​</w:t>
      </w:r>
    </w:p>
    <w:p w14:paraId="72E3BB5A">
      <w:pPr>
        <w:spacing w:line="360" w:lineRule="auto"/>
        <w:rPr>
          <w:rFonts w:hint="default"/>
          <w:color w:val="auto"/>
          <w:lang w:val="en-US" w:eastAsia="zh-CN"/>
        </w:rPr>
      </w:pPr>
      <w:r>
        <w:rPr>
          <w:rFonts w:hint="default"/>
          <w:color w:val="auto"/>
          <w:lang w:val="en-US" w:eastAsia="zh-CN"/>
        </w:rPr>
        <w:t>应交税费 —— 应交增值税（销项税额）10.4​</w:t>
      </w:r>
    </w:p>
    <w:p w14:paraId="10C0DB37">
      <w:pPr>
        <w:spacing w:line="360" w:lineRule="auto"/>
        <w:rPr>
          <w:rFonts w:hint="default"/>
          <w:color w:val="auto"/>
          <w:lang w:val="en-US" w:eastAsia="zh-CN"/>
        </w:rPr>
      </w:pPr>
      <w:r>
        <w:rPr>
          <w:rFonts w:hint="default"/>
          <w:color w:val="auto"/>
          <w:lang w:val="en-US" w:eastAsia="zh-CN"/>
        </w:rPr>
        <w:t>其他收益 22.6（113 - 80 - 10.4）​</w:t>
      </w:r>
    </w:p>
    <w:p w14:paraId="2F56130B">
      <w:pPr>
        <w:spacing w:line="360" w:lineRule="auto"/>
        <w:rPr>
          <w:rFonts w:hint="default"/>
          <w:color w:val="auto"/>
          <w:lang w:val="en-US" w:eastAsia="zh-CN"/>
        </w:rPr>
      </w:pPr>
      <w:r>
        <w:rPr>
          <w:rFonts w:hint="default"/>
          <w:color w:val="auto"/>
          <w:lang w:val="en-US" w:eastAsia="zh-CN"/>
        </w:rPr>
        <w:t>借：主营业务成本 60​</w:t>
      </w:r>
    </w:p>
    <w:p w14:paraId="60CE0F05">
      <w:pPr>
        <w:spacing w:line="360" w:lineRule="auto"/>
        <w:rPr>
          <w:rFonts w:hint="default"/>
          <w:color w:val="auto"/>
          <w:lang w:val="en-US" w:eastAsia="zh-CN"/>
        </w:rPr>
      </w:pPr>
      <w:r>
        <w:rPr>
          <w:rFonts w:hint="default"/>
          <w:color w:val="auto"/>
          <w:lang w:val="en-US" w:eastAsia="zh-CN"/>
        </w:rPr>
        <w:t>贷：库存商品 60 （6 分）​</w:t>
      </w:r>
    </w:p>
    <w:p w14:paraId="55C38D6E">
      <w:pPr>
        <w:spacing w:line="360" w:lineRule="auto"/>
        <w:rPr>
          <w:rFonts w:hint="eastAsia"/>
          <w:color w:val="auto"/>
          <w:lang w:val="en-US" w:eastAsia="zh-CN"/>
        </w:rPr>
      </w:pPr>
    </w:p>
    <w:p w14:paraId="4337D1FF">
      <w:pPr>
        <w:spacing w:line="360" w:lineRule="auto"/>
        <w:rPr>
          <w:rFonts w:hint="default"/>
          <w:color w:val="auto"/>
          <w:lang w:val="en-US" w:eastAsia="zh-CN"/>
        </w:rPr>
      </w:pPr>
      <w:r>
        <w:rPr>
          <w:rFonts w:hint="eastAsia"/>
          <w:color w:val="auto"/>
          <w:lang w:val="en-US" w:eastAsia="zh-CN"/>
        </w:rPr>
        <w:t>2、</w:t>
      </w:r>
    </w:p>
    <w:p w14:paraId="540078EC">
      <w:pPr>
        <w:spacing w:line="360" w:lineRule="auto"/>
        <w:rPr>
          <w:rFonts w:hint="default"/>
          <w:color w:val="auto"/>
          <w:lang w:val="en-US" w:eastAsia="zh-CN"/>
        </w:rPr>
      </w:pPr>
      <w:r>
        <w:rPr>
          <w:rFonts w:hint="default"/>
          <w:color w:val="auto"/>
          <w:lang w:val="en-US" w:eastAsia="zh-CN"/>
        </w:rPr>
        <w:t>A 公司会计分录：​</w:t>
      </w:r>
    </w:p>
    <w:p w14:paraId="68B75761">
      <w:pPr>
        <w:spacing w:line="360" w:lineRule="auto"/>
        <w:rPr>
          <w:rFonts w:hint="default"/>
          <w:color w:val="auto"/>
          <w:lang w:val="en-US" w:eastAsia="zh-CN"/>
        </w:rPr>
      </w:pPr>
      <w:r>
        <w:rPr>
          <w:rFonts w:hint="default"/>
          <w:color w:val="auto"/>
          <w:lang w:val="en-US" w:eastAsia="zh-CN"/>
        </w:rPr>
        <w:t>换出资产公允价值总额 = 160（固定资产）+90（无形资产）=250 万元​</w:t>
      </w:r>
    </w:p>
    <w:p w14:paraId="259146C7">
      <w:pPr>
        <w:spacing w:line="360" w:lineRule="auto"/>
        <w:rPr>
          <w:rFonts w:hint="default"/>
          <w:color w:val="auto"/>
          <w:lang w:val="en-US" w:eastAsia="zh-CN"/>
        </w:rPr>
      </w:pPr>
      <w:r>
        <w:rPr>
          <w:rFonts w:hint="default"/>
          <w:color w:val="auto"/>
          <w:lang w:val="en-US" w:eastAsia="zh-CN"/>
        </w:rPr>
        <w:t>换入资产公允价值总额 = 200（库存商品）+60（交易性金融资产）=260 万元​</w:t>
      </w:r>
    </w:p>
    <w:p w14:paraId="62BC1351">
      <w:pPr>
        <w:spacing w:line="360" w:lineRule="auto"/>
        <w:rPr>
          <w:rFonts w:hint="default"/>
          <w:color w:val="auto"/>
          <w:lang w:val="en-US" w:eastAsia="zh-CN"/>
        </w:rPr>
      </w:pPr>
      <w:r>
        <w:rPr>
          <w:rFonts w:hint="default"/>
          <w:color w:val="auto"/>
          <w:lang w:val="en-US" w:eastAsia="zh-CN"/>
        </w:rPr>
        <w:t>换入资产总成本 = 250+10=260 万元，其中库存商品 200 万元，交易性金融资产 60 万元​</w:t>
      </w:r>
    </w:p>
    <w:p w14:paraId="2C8D7082">
      <w:pPr>
        <w:spacing w:line="360" w:lineRule="auto"/>
        <w:rPr>
          <w:rFonts w:hint="default"/>
          <w:color w:val="auto"/>
          <w:lang w:val="en-US" w:eastAsia="zh-CN"/>
        </w:rPr>
      </w:pPr>
      <w:r>
        <w:rPr>
          <w:rFonts w:hint="default"/>
          <w:color w:val="auto"/>
          <w:lang w:val="en-US" w:eastAsia="zh-CN"/>
        </w:rPr>
        <w:t>借：固定资产清理 150​</w:t>
      </w:r>
    </w:p>
    <w:p w14:paraId="4D622169">
      <w:pPr>
        <w:spacing w:line="360" w:lineRule="auto"/>
        <w:rPr>
          <w:rFonts w:hint="default"/>
          <w:color w:val="auto"/>
          <w:lang w:val="en-US" w:eastAsia="zh-CN"/>
        </w:rPr>
      </w:pPr>
      <w:r>
        <w:rPr>
          <w:rFonts w:hint="default"/>
          <w:color w:val="auto"/>
          <w:lang w:val="en-US" w:eastAsia="zh-CN"/>
        </w:rPr>
        <w:t>累计折旧 50​</w:t>
      </w:r>
    </w:p>
    <w:p w14:paraId="4CA0838C">
      <w:pPr>
        <w:spacing w:line="360" w:lineRule="auto"/>
        <w:rPr>
          <w:rFonts w:hint="default"/>
          <w:color w:val="auto"/>
          <w:lang w:val="en-US" w:eastAsia="zh-CN"/>
        </w:rPr>
      </w:pPr>
      <w:r>
        <w:rPr>
          <w:rFonts w:hint="default"/>
          <w:color w:val="auto"/>
          <w:lang w:val="en-US" w:eastAsia="zh-CN"/>
        </w:rPr>
        <w:t>贷：固定资产 200 ​</w:t>
      </w:r>
    </w:p>
    <w:p w14:paraId="4A72AB47">
      <w:pPr>
        <w:spacing w:line="360" w:lineRule="auto"/>
        <w:rPr>
          <w:rFonts w:hint="default"/>
          <w:color w:val="auto"/>
          <w:lang w:val="en-US" w:eastAsia="zh-CN"/>
        </w:rPr>
      </w:pPr>
      <w:r>
        <w:rPr>
          <w:rFonts w:hint="default"/>
          <w:color w:val="auto"/>
          <w:lang w:val="en-US" w:eastAsia="zh-CN"/>
        </w:rPr>
        <w:t>借：库存商品 200​</w:t>
      </w:r>
    </w:p>
    <w:p w14:paraId="403F8B0B">
      <w:pPr>
        <w:spacing w:line="360" w:lineRule="auto"/>
        <w:rPr>
          <w:rFonts w:hint="default"/>
          <w:color w:val="auto"/>
          <w:lang w:val="en-US" w:eastAsia="zh-CN"/>
        </w:rPr>
      </w:pPr>
      <w:r>
        <w:rPr>
          <w:rFonts w:hint="default"/>
          <w:color w:val="auto"/>
          <w:lang w:val="en-US" w:eastAsia="zh-CN"/>
        </w:rPr>
        <w:t>应交税费 —— 应交增值税（进项税额）26（200×13%）​</w:t>
      </w:r>
    </w:p>
    <w:p w14:paraId="6A23B50B">
      <w:pPr>
        <w:spacing w:line="360" w:lineRule="auto"/>
        <w:rPr>
          <w:rFonts w:hint="default"/>
          <w:color w:val="auto"/>
          <w:lang w:val="en-US" w:eastAsia="zh-CN"/>
        </w:rPr>
      </w:pPr>
      <w:r>
        <w:rPr>
          <w:rFonts w:hint="default"/>
          <w:color w:val="auto"/>
          <w:lang w:val="en-US" w:eastAsia="zh-CN"/>
        </w:rPr>
        <w:t>交易性金融资产 —— 成本 60​</w:t>
      </w:r>
    </w:p>
    <w:p w14:paraId="6397AF08">
      <w:pPr>
        <w:spacing w:line="360" w:lineRule="auto"/>
        <w:rPr>
          <w:rFonts w:hint="default"/>
          <w:color w:val="auto"/>
          <w:lang w:val="en-US" w:eastAsia="zh-CN"/>
        </w:rPr>
      </w:pPr>
      <w:r>
        <w:rPr>
          <w:rFonts w:hint="default"/>
          <w:color w:val="auto"/>
          <w:lang w:val="en-US" w:eastAsia="zh-CN"/>
        </w:rPr>
        <w:t>累计摊销 20​</w:t>
      </w:r>
    </w:p>
    <w:p w14:paraId="4642446C">
      <w:pPr>
        <w:spacing w:line="360" w:lineRule="auto"/>
        <w:rPr>
          <w:rFonts w:hint="default"/>
          <w:color w:val="auto"/>
          <w:lang w:val="en-US" w:eastAsia="zh-CN"/>
        </w:rPr>
      </w:pPr>
      <w:r>
        <w:rPr>
          <w:rFonts w:hint="default"/>
          <w:color w:val="auto"/>
          <w:lang w:val="en-US" w:eastAsia="zh-CN"/>
        </w:rPr>
        <w:t>贷：固定资产清理 150​</w:t>
      </w:r>
    </w:p>
    <w:p w14:paraId="7EF5DCBB">
      <w:pPr>
        <w:spacing w:line="360" w:lineRule="auto"/>
        <w:rPr>
          <w:rFonts w:hint="default"/>
          <w:color w:val="auto"/>
          <w:lang w:val="en-US" w:eastAsia="zh-CN"/>
        </w:rPr>
      </w:pPr>
      <w:r>
        <w:rPr>
          <w:rFonts w:hint="default"/>
          <w:color w:val="auto"/>
          <w:lang w:val="en-US" w:eastAsia="zh-CN"/>
        </w:rPr>
        <w:t>无形资产 100​</w:t>
      </w:r>
    </w:p>
    <w:p w14:paraId="3096C392">
      <w:pPr>
        <w:spacing w:line="360" w:lineRule="auto"/>
        <w:rPr>
          <w:rFonts w:hint="default"/>
          <w:color w:val="auto"/>
          <w:lang w:val="en-US" w:eastAsia="zh-CN"/>
        </w:rPr>
      </w:pPr>
      <w:r>
        <w:rPr>
          <w:rFonts w:hint="default"/>
          <w:color w:val="auto"/>
          <w:lang w:val="en-US" w:eastAsia="zh-CN"/>
        </w:rPr>
        <w:t>银行存款 10​</w:t>
      </w:r>
    </w:p>
    <w:p w14:paraId="5205B89B">
      <w:pPr>
        <w:spacing w:line="360" w:lineRule="auto"/>
        <w:rPr>
          <w:rFonts w:hint="default"/>
          <w:color w:val="auto"/>
          <w:lang w:val="en-US" w:eastAsia="zh-CN"/>
        </w:rPr>
      </w:pPr>
      <w:r>
        <w:rPr>
          <w:rFonts w:hint="default"/>
          <w:color w:val="auto"/>
          <w:lang w:val="en-US" w:eastAsia="zh-CN"/>
        </w:rPr>
        <w:t>应交税费 —— 应交增值税（销项税额）20.8（160×13%）​</w:t>
      </w:r>
    </w:p>
    <w:p w14:paraId="048AB454">
      <w:pPr>
        <w:spacing w:line="360" w:lineRule="auto"/>
        <w:rPr>
          <w:rFonts w:hint="default"/>
          <w:color w:val="auto"/>
          <w:lang w:val="en-US" w:eastAsia="zh-CN"/>
        </w:rPr>
      </w:pPr>
      <w:r>
        <w:rPr>
          <w:rFonts w:hint="default"/>
          <w:color w:val="auto"/>
          <w:lang w:val="en-US" w:eastAsia="zh-CN"/>
        </w:rPr>
        <w:t>资产处置损益 25.2（固定资产处置损益 10 + 无形资产处置损益 10 + 进项税与销项税差额 5.2） ​</w:t>
      </w:r>
    </w:p>
    <w:p w14:paraId="601C2003">
      <w:pPr>
        <w:spacing w:line="360" w:lineRule="auto"/>
        <w:rPr>
          <w:rFonts w:hint="default"/>
          <w:color w:val="auto"/>
          <w:lang w:val="en-US" w:eastAsia="zh-CN"/>
        </w:rPr>
      </w:pPr>
      <w:r>
        <w:rPr>
          <w:rFonts w:hint="default"/>
          <w:color w:val="auto"/>
          <w:lang w:val="en-US" w:eastAsia="zh-CN"/>
        </w:rPr>
        <w:t>B 公司会计分录：​</w:t>
      </w:r>
    </w:p>
    <w:p w14:paraId="6E6F795C">
      <w:pPr>
        <w:spacing w:line="360" w:lineRule="auto"/>
        <w:rPr>
          <w:rFonts w:hint="default"/>
          <w:color w:val="auto"/>
          <w:lang w:val="en-US" w:eastAsia="zh-CN"/>
        </w:rPr>
      </w:pPr>
      <w:r>
        <w:rPr>
          <w:rFonts w:hint="default"/>
          <w:color w:val="auto"/>
          <w:lang w:val="en-US" w:eastAsia="zh-CN"/>
        </w:rPr>
        <w:t>换入资产总成本 = 260-10=250 万元，其中固定资产 160 万元，无形资产 90 万元​</w:t>
      </w:r>
    </w:p>
    <w:p w14:paraId="64C0EBFA">
      <w:pPr>
        <w:spacing w:line="360" w:lineRule="auto"/>
        <w:rPr>
          <w:rFonts w:hint="default"/>
          <w:color w:val="auto"/>
          <w:lang w:val="en-US" w:eastAsia="zh-CN"/>
        </w:rPr>
      </w:pPr>
      <w:r>
        <w:rPr>
          <w:rFonts w:hint="default"/>
          <w:color w:val="auto"/>
          <w:lang w:val="en-US" w:eastAsia="zh-CN"/>
        </w:rPr>
        <w:t>借：固定资产 160​</w:t>
      </w:r>
    </w:p>
    <w:p w14:paraId="5006FE34">
      <w:pPr>
        <w:spacing w:line="360" w:lineRule="auto"/>
        <w:rPr>
          <w:rFonts w:hint="default"/>
          <w:color w:val="auto"/>
          <w:lang w:val="en-US" w:eastAsia="zh-CN"/>
        </w:rPr>
      </w:pPr>
      <w:r>
        <w:rPr>
          <w:rFonts w:hint="default"/>
          <w:color w:val="auto"/>
          <w:lang w:val="en-US" w:eastAsia="zh-CN"/>
        </w:rPr>
        <w:t>无形资产 90​</w:t>
      </w:r>
    </w:p>
    <w:p w14:paraId="1E1426A4">
      <w:pPr>
        <w:spacing w:line="360" w:lineRule="auto"/>
        <w:rPr>
          <w:rFonts w:hint="default"/>
          <w:color w:val="auto"/>
          <w:lang w:val="en-US" w:eastAsia="zh-CN"/>
        </w:rPr>
      </w:pPr>
      <w:r>
        <w:rPr>
          <w:rFonts w:hint="default"/>
          <w:color w:val="auto"/>
          <w:lang w:val="en-US" w:eastAsia="zh-CN"/>
        </w:rPr>
        <w:t>应交税费 —— 应交增值税（进项税额）20.8（160×13%）​</w:t>
      </w:r>
    </w:p>
    <w:p w14:paraId="5AA5F82F">
      <w:pPr>
        <w:spacing w:line="360" w:lineRule="auto"/>
        <w:rPr>
          <w:rFonts w:hint="default"/>
          <w:color w:val="auto"/>
          <w:lang w:val="en-US" w:eastAsia="zh-CN"/>
        </w:rPr>
      </w:pPr>
      <w:r>
        <w:rPr>
          <w:rFonts w:hint="default"/>
          <w:color w:val="auto"/>
          <w:lang w:val="en-US" w:eastAsia="zh-CN"/>
        </w:rPr>
        <w:t>银行存款 10​</w:t>
      </w:r>
    </w:p>
    <w:p w14:paraId="06479B77">
      <w:pPr>
        <w:spacing w:line="360" w:lineRule="auto"/>
        <w:rPr>
          <w:rFonts w:hint="default"/>
          <w:color w:val="auto"/>
          <w:lang w:val="en-US" w:eastAsia="zh-CN"/>
        </w:rPr>
      </w:pPr>
      <w:r>
        <w:rPr>
          <w:rFonts w:hint="default"/>
          <w:color w:val="auto"/>
          <w:lang w:val="en-US" w:eastAsia="zh-CN"/>
        </w:rPr>
        <w:t>投资收益 20（交易性金融资产公允价值 60 - 成本 80）​</w:t>
      </w:r>
    </w:p>
    <w:p w14:paraId="5F30EA9D">
      <w:pPr>
        <w:spacing w:line="360" w:lineRule="auto"/>
        <w:rPr>
          <w:rFonts w:hint="default"/>
          <w:color w:val="auto"/>
          <w:lang w:val="en-US" w:eastAsia="zh-CN"/>
        </w:rPr>
      </w:pPr>
      <w:r>
        <w:rPr>
          <w:rFonts w:hint="default"/>
          <w:color w:val="auto"/>
          <w:lang w:val="en-US" w:eastAsia="zh-CN"/>
        </w:rPr>
        <w:t>贷：主营业务收入 200​</w:t>
      </w:r>
    </w:p>
    <w:p w14:paraId="6960D73A">
      <w:pPr>
        <w:spacing w:line="360" w:lineRule="auto"/>
        <w:rPr>
          <w:rFonts w:hint="default"/>
          <w:color w:val="auto"/>
          <w:lang w:val="en-US" w:eastAsia="zh-CN"/>
        </w:rPr>
      </w:pPr>
      <w:r>
        <w:rPr>
          <w:rFonts w:hint="default"/>
          <w:color w:val="auto"/>
          <w:lang w:val="en-US" w:eastAsia="zh-CN"/>
        </w:rPr>
        <w:t>应交税费 —— 应交增值税（销项税额）26（200×13%）​</w:t>
      </w:r>
    </w:p>
    <w:p w14:paraId="3887238F">
      <w:pPr>
        <w:spacing w:line="360" w:lineRule="auto"/>
        <w:rPr>
          <w:rFonts w:hint="default"/>
          <w:color w:val="auto"/>
          <w:lang w:val="en-US" w:eastAsia="zh-CN"/>
        </w:rPr>
      </w:pPr>
      <w:r>
        <w:rPr>
          <w:rFonts w:hint="default"/>
          <w:color w:val="auto"/>
          <w:lang w:val="en-US" w:eastAsia="zh-CN"/>
        </w:rPr>
        <w:t>交易性金融资产 —— 成本 80 ​</w:t>
      </w:r>
    </w:p>
    <w:p w14:paraId="3C973B03">
      <w:pPr>
        <w:spacing w:line="360" w:lineRule="auto"/>
        <w:rPr>
          <w:rFonts w:hint="default"/>
          <w:color w:val="auto"/>
          <w:lang w:val="en-US" w:eastAsia="zh-CN"/>
        </w:rPr>
      </w:pPr>
      <w:r>
        <w:rPr>
          <w:rFonts w:hint="default"/>
          <w:color w:val="auto"/>
          <w:lang w:val="en-US" w:eastAsia="zh-CN"/>
        </w:rPr>
        <w:t>借：主营业务成本 150​</w:t>
      </w:r>
    </w:p>
    <w:p w14:paraId="2F1E6824">
      <w:pPr>
        <w:spacing w:line="360" w:lineRule="auto"/>
        <w:rPr>
          <w:rFonts w:hint="default"/>
          <w:color w:val="auto"/>
          <w:lang w:val="en-US" w:eastAsia="zh-CN"/>
        </w:rPr>
      </w:pPr>
      <w:r>
        <w:rPr>
          <w:rFonts w:hint="default"/>
          <w:color w:val="auto"/>
          <w:lang w:val="en-US" w:eastAsia="zh-CN"/>
        </w:rPr>
        <w:t xml:space="preserve">贷：库存商品 150 </w:t>
      </w:r>
    </w:p>
    <w:p w14:paraId="13864DAC">
      <w:pPr>
        <w:spacing w:line="360" w:lineRule="auto"/>
        <w:rPr>
          <w:rFonts w:hint="eastAsia"/>
          <w:color w:val="auto"/>
          <w:lang w:val="en-US" w:eastAsia="zh-CN"/>
        </w:rPr>
      </w:pPr>
    </w:p>
    <w:p w14:paraId="07D8E4EC">
      <w:pPr>
        <w:spacing w:line="360" w:lineRule="auto"/>
        <w:rPr>
          <w:rFonts w:hint="default"/>
          <w:color w:val="auto"/>
          <w:lang w:val="en-US" w:eastAsia="zh-CN"/>
        </w:rPr>
      </w:pPr>
      <w:r>
        <w:rPr>
          <w:rFonts w:hint="eastAsia"/>
          <w:color w:val="auto"/>
          <w:lang w:val="en-US" w:eastAsia="zh-CN"/>
        </w:rPr>
        <w:t>3、</w:t>
      </w:r>
      <w:r>
        <w:rPr>
          <w:rFonts w:hint="default"/>
          <w:color w:val="auto"/>
          <w:lang w:val="en-US" w:eastAsia="zh-CN"/>
        </w:rPr>
        <w:t>​</w:t>
      </w:r>
    </w:p>
    <w:p w14:paraId="73A8A773">
      <w:pPr>
        <w:spacing w:line="360" w:lineRule="auto"/>
        <w:rPr>
          <w:rFonts w:hint="default"/>
          <w:color w:val="auto"/>
          <w:lang w:val="en-US" w:eastAsia="zh-CN"/>
        </w:rPr>
      </w:pPr>
      <w:r>
        <w:rPr>
          <w:rFonts w:hint="default"/>
          <w:color w:val="auto"/>
          <w:lang w:val="en-US" w:eastAsia="zh-CN"/>
        </w:rPr>
        <w:t>（1）计算 2023 年度应纳税所得额和应交所得税​</w:t>
      </w:r>
    </w:p>
    <w:p w14:paraId="265E9C6F">
      <w:pPr>
        <w:spacing w:line="360" w:lineRule="auto"/>
        <w:rPr>
          <w:rFonts w:hint="default"/>
          <w:color w:val="auto"/>
          <w:lang w:val="en-US" w:eastAsia="zh-CN"/>
        </w:rPr>
      </w:pPr>
      <w:r>
        <w:rPr>
          <w:rFonts w:hint="default"/>
          <w:color w:val="auto"/>
          <w:lang w:val="en-US" w:eastAsia="zh-CN"/>
        </w:rPr>
        <w:t>固定资产折旧差异：会计折旧 40 万元，税收折旧 80 万元，纳税调减 40 万元​</w:t>
      </w:r>
    </w:p>
    <w:p w14:paraId="33548188">
      <w:pPr>
        <w:spacing w:line="360" w:lineRule="auto"/>
        <w:rPr>
          <w:rFonts w:hint="default"/>
          <w:color w:val="auto"/>
          <w:lang w:val="en-US" w:eastAsia="zh-CN"/>
        </w:rPr>
      </w:pPr>
      <w:r>
        <w:rPr>
          <w:rFonts w:hint="default"/>
          <w:color w:val="auto"/>
          <w:lang w:val="en-US" w:eastAsia="zh-CN"/>
        </w:rPr>
        <w:t>交易性金融资产公允价值变动：会计收益 100 万元，税收不认可，纳税调减 100 万元​</w:t>
      </w:r>
    </w:p>
    <w:p w14:paraId="20C9BA2A">
      <w:pPr>
        <w:spacing w:line="360" w:lineRule="auto"/>
        <w:rPr>
          <w:rFonts w:hint="default"/>
          <w:color w:val="auto"/>
          <w:lang w:val="en-US" w:eastAsia="zh-CN"/>
        </w:rPr>
      </w:pPr>
      <w:r>
        <w:rPr>
          <w:rFonts w:hint="default"/>
          <w:color w:val="auto"/>
          <w:lang w:val="en-US" w:eastAsia="zh-CN"/>
        </w:rPr>
        <w:t>存货跌价准备：会计减值 20 万元，税收不认可，纳税调增 20 万元​</w:t>
      </w:r>
    </w:p>
    <w:p w14:paraId="14724204">
      <w:pPr>
        <w:spacing w:line="360" w:lineRule="auto"/>
        <w:rPr>
          <w:rFonts w:hint="default"/>
          <w:color w:val="auto"/>
          <w:lang w:val="en-US" w:eastAsia="zh-CN"/>
        </w:rPr>
      </w:pPr>
      <w:r>
        <w:rPr>
          <w:rFonts w:hint="default"/>
          <w:color w:val="auto"/>
          <w:lang w:val="en-US" w:eastAsia="zh-CN"/>
        </w:rPr>
        <w:t>应纳税所得额 = 1000-40-100+20=880 万元​</w:t>
      </w:r>
    </w:p>
    <w:p w14:paraId="55E42460">
      <w:pPr>
        <w:spacing w:line="360" w:lineRule="auto"/>
        <w:rPr>
          <w:rFonts w:hint="default"/>
          <w:color w:val="auto"/>
          <w:lang w:val="en-US" w:eastAsia="zh-CN"/>
        </w:rPr>
      </w:pPr>
      <w:r>
        <w:rPr>
          <w:rFonts w:hint="default"/>
          <w:color w:val="auto"/>
          <w:lang w:val="en-US" w:eastAsia="zh-CN"/>
        </w:rPr>
        <w:t>应交所得税 = 880×25%=220 万元​</w:t>
      </w:r>
    </w:p>
    <w:p w14:paraId="58646586">
      <w:pPr>
        <w:spacing w:line="360" w:lineRule="auto"/>
        <w:rPr>
          <w:rFonts w:hint="default"/>
          <w:color w:val="auto"/>
          <w:lang w:val="en-US" w:eastAsia="zh-CN"/>
        </w:rPr>
      </w:pPr>
      <w:r>
        <w:rPr>
          <w:rFonts w:hint="default"/>
          <w:color w:val="auto"/>
          <w:lang w:val="en-US" w:eastAsia="zh-CN"/>
        </w:rPr>
        <w:t>（2）计算递延所得税资产和递延所得税负债发生额</w:t>
      </w:r>
    </w:p>
    <w:p w14:paraId="08933200">
      <w:pPr>
        <w:spacing w:line="360" w:lineRule="auto"/>
        <w:rPr>
          <w:rFonts w:hint="default"/>
          <w:color w:val="auto"/>
          <w:lang w:val="en-US" w:eastAsia="zh-CN"/>
        </w:rPr>
      </w:pPr>
      <w:r>
        <w:rPr>
          <w:rFonts w:hint="default"/>
          <w:color w:val="auto"/>
          <w:lang w:val="en-US" w:eastAsia="zh-CN"/>
        </w:rPr>
        <w:t>固定资产：账面价值 160 万元，计税基础 120 万元，应纳税暂时性差异 40 万元，递延所得税负债 = 40×25%=10 万元​</w:t>
      </w:r>
    </w:p>
    <w:p w14:paraId="5F6690A6">
      <w:pPr>
        <w:spacing w:line="360" w:lineRule="auto"/>
        <w:rPr>
          <w:rFonts w:hint="default"/>
          <w:color w:val="auto"/>
          <w:lang w:val="en-US" w:eastAsia="zh-CN"/>
        </w:rPr>
      </w:pPr>
      <w:r>
        <w:rPr>
          <w:rFonts w:hint="default"/>
          <w:color w:val="auto"/>
          <w:lang w:val="en-US" w:eastAsia="zh-CN"/>
        </w:rPr>
        <w:t>交易性金融资产：账面价值 300 万元，计税基础 200 万元，应纳税暂时性差异 100 万元，递延所得税负债 = 100×25%=25 万元​</w:t>
      </w:r>
    </w:p>
    <w:p w14:paraId="208950DF">
      <w:pPr>
        <w:spacing w:line="360" w:lineRule="auto"/>
        <w:rPr>
          <w:rFonts w:hint="default"/>
          <w:color w:val="auto"/>
          <w:lang w:val="en-US" w:eastAsia="zh-CN"/>
        </w:rPr>
      </w:pPr>
      <w:r>
        <w:rPr>
          <w:rFonts w:hint="default"/>
          <w:color w:val="auto"/>
          <w:lang w:val="en-US" w:eastAsia="zh-CN"/>
        </w:rPr>
        <w:t>存货：账面价值 80 万元，计税基础 100 万元，可抵扣暂时性差异 20 万元，递延所得税资产 = 20×25%=5 万元​</w:t>
      </w:r>
    </w:p>
    <w:p w14:paraId="557E6067">
      <w:pPr>
        <w:spacing w:line="360" w:lineRule="auto"/>
        <w:rPr>
          <w:rFonts w:hint="default"/>
          <w:color w:val="auto"/>
          <w:lang w:val="en-US" w:eastAsia="zh-CN"/>
        </w:rPr>
      </w:pPr>
      <w:r>
        <w:rPr>
          <w:rFonts w:hint="default"/>
          <w:color w:val="auto"/>
          <w:lang w:val="en-US" w:eastAsia="zh-CN"/>
        </w:rPr>
        <w:t>递延所得税负债总发生额 = 35 万元，递延所得税资产发生额 = 5 万元​</w:t>
      </w:r>
    </w:p>
    <w:p w14:paraId="7611624B">
      <w:pPr>
        <w:spacing w:line="360" w:lineRule="auto"/>
        <w:rPr>
          <w:rFonts w:hint="default"/>
          <w:color w:val="auto"/>
          <w:lang w:val="en-US" w:eastAsia="zh-CN"/>
        </w:rPr>
      </w:pPr>
      <w:r>
        <w:rPr>
          <w:rFonts w:hint="default"/>
          <w:color w:val="auto"/>
          <w:lang w:val="en-US" w:eastAsia="zh-CN"/>
        </w:rPr>
        <w:t>（3）编制所得税费用会计分录</w:t>
      </w:r>
    </w:p>
    <w:p w14:paraId="65F3A47D">
      <w:pPr>
        <w:spacing w:line="360" w:lineRule="auto"/>
        <w:rPr>
          <w:rFonts w:hint="default"/>
          <w:color w:val="auto"/>
          <w:lang w:val="en-US" w:eastAsia="zh-CN"/>
        </w:rPr>
      </w:pPr>
      <w:r>
        <w:rPr>
          <w:rFonts w:hint="default"/>
          <w:color w:val="auto"/>
          <w:lang w:val="en-US" w:eastAsia="zh-CN"/>
        </w:rPr>
        <w:t>借：所得税费用 250​</w:t>
      </w:r>
    </w:p>
    <w:p w14:paraId="24E7EE35">
      <w:pPr>
        <w:spacing w:line="360" w:lineRule="auto"/>
        <w:rPr>
          <w:rFonts w:hint="default"/>
          <w:color w:val="auto"/>
          <w:lang w:val="en-US" w:eastAsia="zh-CN"/>
        </w:rPr>
      </w:pPr>
      <w:r>
        <w:rPr>
          <w:rFonts w:hint="default"/>
          <w:color w:val="auto"/>
          <w:lang w:val="en-US" w:eastAsia="zh-CN"/>
        </w:rPr>
        <w:t>递延所得税资产 5​</w:t>
      </w:r>
    </w:p>
    <w:p w14:paraId="7996EB1B">
      <w:pPr>
        <w:spacing w:line="360" w:lineRule="auto"/>
        <w:rPr>
          <w:rFonts w:hint="default"/>
          <w:color w:val="auto"/>
          <w:lang w:val="en-US" w:eastAsia="zh-CN"/>
        </w:rPr>
      </w:pPr>
      <w:r>
        <w:rPr>
          <w:rFonts w:hint="default"/>
          <w:color w:val="auto"/>
          <w:lang w:val="en-US" w:eastAsia="zh-CN"/>
        </w:rPr>
        <w:t>贷：应交税费 —— 应交所得税 220​</w:t>
      </w:r>
    </w:p>
    <w:p w14:paraId="7C925B81">
      <w:pPr>
        <w:spacing w:line="360" w:lineRule="auto"/>
        <w:rPr>
          <w:rFonts w:hint="default"/>
          <w:color w:val="auto"/>
          <w:lang w:val="en-US" w:eastAsia="zh-CN"/>
        </w:rPr>
      </w:pPr>
      <w:r>
        <w:rPr>
          <w:rFonts w:hint="default"/>
          <w:color w:val="auto"/>
          <w:lang w:val="en-US" w:eastAsia="zh-CN"/>
        </w:rPr>
        <w:t>递延所得税负债 35</w:t>
      </w:r>
    </w:p>
    <w:p w14:paraId="4045788C">
      <w:pPr>
        <w:spacing w:line="360" w:lineRule="auto"/>
        <w:rPr>
          <w:rFonts w:hint="eastAsia"/>
          <w:color w:val="auto"/>
          <w:lang w:val="en-US" w:eastAsia="zh-CN"/>
        </w:rPr>
      </w:pPr>
    </w:p>
    <w:p w14:paraId="14942B85">
      <w:pPr>
        <w:rPr>
          <w:rFonts w:hint="default"/>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D5F718"/>
    <w:multiLevelType w:val="singleLevel"/>
    <w:tmpl w:val="CAD5F718"/>
    <w:lvl w:ilvl="0" w:tentative="0">
      <w:start w:val="1"/>
      <w:numFmt w:val="chineseCounting"/>
      <w:suff w:val="nothing"/>
      <w:lvlText w:val="%1、"/>
      <w:lvlJc w:val="left"/>
      <w:rPr>
        <w:rFonts w:hint="eastAsia"/>
      </w:rPr>
    </w:lvl>
  </w:abstractNum>
  <w:abstractNum w:abstractNumId="1">
    <w:nsid w:val="5FFA0B9A"/>
    <w:multiLevelType w:val="singleLevel"/>
    <w:tmpl w:val="5FFA0B9A"/>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F03B4E"/>
    <w:rsid w:val="08F03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2</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2025-12-12T07:36:00Z</dcterms:created>
  <dc:creator>黄岩育华李才聪</dc:creator>
  <cp:lastModifiedBy>黄岩育华李才聪</cp:lastModifiedBy>
  <dcterms:modified xsi:type="dcterms:W3CDTF">2025-12-12T07:40:26Z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D2AA0973110B462F8477B02FE134B361_11</vt:lpwstr>
  </property>
  <property fmtid="{D5CDD505-2E9C-101B-9397-08002B2CF9AE}" pid="4" name="KSOTemplateDocerSaveRecord">
    <vt:lpwstr>eyJoZGlkIjoiZmQ4ZTQyZDdmOTI0NjQ5MTBlMjM4MTBkY2Y5N2MwMzYiLCJ1c2VySWQiOiI0NTY2Nzc2NjkifQ==</vt:lpwstr>
  </property>
</Properties>
</file>