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8"/>
          <w:szCs w:val="36"/>
          <w:lang w:val="en-US" w:eastAsia="zh-CN"/>
        </w:rPr>
      </w:pPr>
      <w:r>
        <w:rPr>
          <w:rFonts w:hint="eastAsia"/>
          <w:b/>
          <w:bCs/>
          <w:sz w:val="28"/>
          <w:szCs w:val="36"/>
          <w:lang w:val="en-US" w:eastAsia="zh-CN"/>
        </w:rPr>
        <w:t>高级会计复习资料</w:t>
      </w:r>
    </w:p>
    <w:p>
      <w:pPr>
        <w:spacing w:line="360" w:lineRule="auto"/>
        <w:rPr>
          <w:rFonts w:hint="eastAsia" w:ascii="宋体" w:hAnsi="宋体" w:cs="宋体"/>
          <w:b/>
          <w:bCs/>
        </w:rPr>
      </w:pPr>
      <w:r>
        <w:rPr>
          <w:rFonts w:hint="eastAsia" w:ascii="宋体" w:hAnsi="宋体" w:cs="宋体"/>
          <w:b/>
          <w:bCs/>
        </w:rPr>
        <w:t>一、单项选择题</w:t>
      </w:r>
    </w:p>
    <w:p>
      <w:pPr>
        <w:spacing w:line="360" w:lineRule="auto"/>
        <w:rPr>
          <w:rFonts w:hint="eastAsia" w:ascii="宋体" w:hAnsi="宋体" w:cs="宋体"/>
        </w:rPr>
      </w:pPr>
      <w:r>
        <w:rPr>
          <w:rFonts w:hint="eastAsia" w:ascii="宋体" w:hAnsi="宋体" w:cs="宋体"/>
        </w:rPr>
        <w:t>1、下列关于固定资产减值的表述中，符合会计准则规定的是（ ）。</w:t>
      </w:r>
    </w:p>
    <w:p>
      <w:pPr>
        <w:spacing w:line="360" w:lineRule="auto"/>
        <w:rPr>
          <w:rFonts w:hint="eastAsia" w:ascii="宋体" w:hAnsi="宋体" w:cs="宋体"/>
        </w:rPr>
      </w:pPr>
      <w:r>
        <w:rPr>
          <w:rFonts w:hint="eastAsia" w:ascii="宋体" w:hAnsi="宋体" w:cs="宋体"/>
        </w:rPr>
        <w:t>A.单项固定资产本身的可收回金额难以有效估计的，应当以其所在的资产组为基础确定可收回金额</w:t>
      </w:r>
    </w:p>
    <w:p>
      <w:pPr>
        <w:spacing w:line="360" w:lineRule="auto"/>
        <w:rPr>
          <w:rFonts w:hint="eastAsia" w:ascii="宋体" w:hAnsi="宋体" w:cs="宋体"/>
        </w:rPr>
      </w:pPr>
      <w:r>
        <w:rPr>
          <w:rFonts w:hint="eastAsia" w:ascii="宋体" w:hAnsi="宋体" w:cs="宋体"/>
        </w:rPr>
        <w:t>B.预计固定资产未来现金流量应当考虑与所得税收付相关的现金流量</w:t>
      </w:r>
    </w:p>
    <w:p>
      <w:pPr>
        <w:spacing w:line="360" w:lineRule="auto"/>
        <w:rPr>
          <w:rFonts w:hint="eastAsia" w:ascii="宋体" w:hAnsi="宋体" w:cs="宋体"/>
        </w:rPr>
      </w:pPr>
      <w:r>
        <w:rPr>
          <w:rFonts w:hint="eastAsia" w:ascii="宋体" w:hAnsi="宋体" w:cs="宋体"/>
        </w:rPr>
        <w:t>C.固定资产的公允价值减去处置费用后的净额高于其账面价值，但预计未来现金流量现值低于其账面价值的，应当计提减值</w:t>
      </w:r>
    </w:p>
    <w:p>
      <w:pPr>
        <w:spacing w:line="360" w:lineRule="auto"/>
        <w:rPr>
          <w:rFonts w:hint="eastAsia" w:ascii="宋体" w:hAnsi="宋体" w:cs="宋体"/>
        </w:rPr>
      </w:pPr>
      <w:r>
        <w:rPr>
          <w:rFonts w:hint="eastAsia" w:ascii="宋体" w:hAnsi="宋体" w:cs="宋体"/>
        </w:rPr>
        <w:t>D.在确定固定资产未来现金流量现值时，应当考虑将来可能发生的与改良有关的预计现金流量的影响</w:t>
      </w:r>
    </w:p>
    <w:p>
      <w:pPr>
        <w:spacing w:line="360" w:lineRule="auto"/>
        <w:rPr>
          <w:rFonts w:hint="eastAsia" w:ascii="宋体" w:hAnsi="宋体" w:cs="宋体"/>
        </w:rPr>
      </w:pPr>
      <w:r>
        <w:rPr>
          <w:rFonts w:hint="eastAsia" w:ascii="宋体" w:hAnsi="宋体" w:cs="宋体"/>
        </w:rPr>
        <w:t>2、2X19年12月31日，乙公司预计某生产线在未来4年内每年产生的现金流量净额分别为200万元、300万元、400万元、600万元，2014年产生的现金流量净额以及该生产线使用寿命结束时处置形成的现金流量净额合计为400万元；假定按照5％的折现率和相应期间的时间价值系数计算该生产线未来现金流量的现值；该生产线的公允价值减去处置费用后的净额为1500万元。已知部分时间价值系数如下：</w:t>
      </w:r>
    </w:p>
    <w:tbl>
      <w:tblPr>
        <w:tblStyle w:val="3"/>
        <w:tblW w:w="0" w:type="auto"/>
        <w:tblInd w:w="858" w:type="dxa"/>
        <w:tblLayout w:type="fixed"/>
        <w:tblCellMar>
          <w:top w:w="0" w:type="dxa"/>
          <w:left w:w="0" w:type="dxa"/>
          <w:bottom w:w="0" w:type="dxa"/>
          <w:right w:w="0" w:type="dxa"/>
        </w:tblCellMar>
      </w:tblPr>
      <w:tblGrid>
        <w:gridCol w:w="2079"/>
        <w:gridCol w:w="1054"/>
        <w:gridCol w:w="1054"/>
        <w:gridCol w:w="1054"/>
        <w:gridCol w:w="1054"/>
        <w:gridCol w:w="1054"/>
      </w:tblGrid>
      <w:tr>
        <w:tblPrEx>
          <w:tblCellMar>
            <w:top w:w="0" w:type="dxa"/>
            <w:left w:w="0" w:type="dxa"/>
            <w:bottom w:w="0" w:type="dxa"/>
            <w:right w:w="0" w:type="dxa"/>
          </w:tblCellMar>
        </w:tblPrEx>
        <w:trPr>
          <w:trHeight w:val="327" w:hRule="atLeast"/>
        </w:trPr>
        <w:tc>
          <w:tcPr>
            <w:tcW w:w="2079"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pPr>
              <w:ind w:firstLine="420" w:firstLineChars="200"/>
            </w:pP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1年</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2年</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3年</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4年</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5年</w:t>
            </w:r>
          </w:p>
        </w:tc>
      </w:tr>
      <w:tr>
        <w:tblPrEx>
          <w:tblCellMar>
            <w:top w:w="0" w:type="dxa"/>
            <w:left w:w="0" w:type="dxa"/>
            <w:bottom w:w="0" w:type="dxa"/>
            <w:right w:w="0" w:type="dxa"/>
          </w:tblCellMar>
        </w:tblPrEx>
        <w:trPr>
          <w:trHeight w:val="407" w:hRule="atLeast"/>
        </w:trPr>
        <w:tc>
          <w:tcPr>
            <w:tcW w:w="2079"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5%的复利现值系数</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0.9524</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0.9070</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0.8638</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0.8227</w:t>
            </w:r>
          </w:p>
        </w:tc>
        <w:tc>
          <w:tcPr>
            <w:tcW w:w="1054"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top"/>
          </w:tcPr>
          <w:p>
            <w:r>
              <w:rPr>
                <w:rFonts w:hint="eastAsia"/>
                <w:bCs/>
              </w:rPr>
              <w:t>0.7835</w:t>
            </w:r>
          </w:p>
        </w:tc>
      </w:tr>
    </w:tbl>
    <w:p>
      <w:pPr>
        <w:spacing w:line="360" w:lineRule="auto"/>
        <w:rPr>
          <w:rFonts w:hint="eastAsia" w:ascii="宋体" w:hAnsi="宋体" w:cs="宋体"/>
        </w:rPr>
      </w:pPr>
      <w:r>
        <w:rPr>
          <w:rFonts w:hint="eastAsia" w:ascii="宋体" w:hAnsi="宋体" w:cs="宋体"/>
        </w:rPr>
        <w:t>该生产线2009年12月31日的可收回金额为（     ）万元。</w:t>
      </w:r>
    </w:p>
    <w:p>
      <w:pPr>
        <w:spacing w:line="360" w:lineRule="auto"/>
        <w:rPr>
          <w:rFonts w:hint="eastAsia" w:ascii="宋体" w:hAnsi="宋体" w:cs="宋体"/>
        </w:rPr>
      </w:pPr>
      <w:r>
        <w:rPr>
          <w:rFonts w:hint="eastAsia" w:ascii="宋体" w:hAnsi="宋体" w:cs="宋体"/>
        </w:rPr>
        <w:t xml:space="preserve">A．1615.12      B．1301.72       C．1500      D．115.12 </w:t>
      </w:r>
    </w:p>
    <w:p>
      <w:pPr>
        <w:spacing w:line="360" w:lineRule="auto"/>
        <w:rPr>
          <w:rFonts w:hint="eastAsia" w:ascii="宋体" w:hAnsi="宋体" w:cs="宋体"/>
        </w:rPr>
      </w:pPr>
      <w:r>
        <w:rPr>
          <w:rFonts w:hint="eastAsia" w:ascii="宋体" w:hAnsi="宋体" w:cs="宋体"/>
        </w:rPr>
        <w:t>3、2023年1月1日，甲公司与乙公司签订租赁合同，将其一栋物业租赁给乙公司作为</w:t>
      </w:r>
    </w:p>
    <w:p>
      <w:pPr>
        <w:spacing w:line="360" w:lineRule="auto"/>
        <w:rPr>
          <w:rFonts w:hint="eastAsia" w:ascii="宋体" w:hAnsi="宋体" w:cs="宋体"/>
        </w:rPr>
      </w:pPr>
      <w:r>
        <w:rPr>
          <w:rFonts w:hint="eastAsia" w:ascii="宋体" w:hAnsi="宋体" w:cs="宋体"/>
        </w:rPr>
        <w:t>商场使用。根据合同约定，物业的租金为每月50万元，于每季末支付；租赁期为5年，自</w:t>
      </w:r>
    </w:p>
    <w:p>
      <w:pPr>
        <w:spacing w:line="360" w:lineRule="auto"/>
        <w:rPr>
          <w:rFonts w:hint="eastAsia" w:ascii="宋体" w:hAnsi="宋体" w:cs="宋体"/>
        </w:rPr>
      </w:pPr>
      <w:r>
        <w:rPr>
          <w:rFonts w:hint="eastAsia" w:ascii="宋体" w:hAnsi="宋体" w:cs="宋体"/>
        </w:rPr>
        <w:t>合同签订日开始算起；租赁期首3个月为免租期，乙公司免予支付租金；如果乙公司每年</w:t>
      </w:r>
    </w:p>
    <w:p>
      <w:pPr>
        <w:spacing w:line="360" w:lineRule="auto"/>
        <w:rPr>
          <w:rFonts w:hint="eastAsia" w:ascii="宋体" w:hAnsi="宋体" w:cs="宋体"/>
        </w:rPr>
      </w:pPr>
      <w:r>
        <w:rPr>
          <w:rFonts w:hint="eastAsia" w:ascii="宋体" w:hAnsi="宋体" w:cs="宋体"/>
        </w:rPr>
        <w:t>的营业收入超过10亿元，乙公司应向甲公司支付经营分享收入100万元。乙公司2023年</w:t>
      </w:r>
    </w:p>
    <w:p>
      <w:pPr>
        <w:spacing w:line="360" w:lineRule="auto"/>
        <w:rPr>
          <w:rFonts w:hint="eastAsia" w:ascii="宋体" w:hAnsi="宋体" w:cs="宋体"/>
        </w:rPr>
      </w:pPr>
      <w:r>
        <w:rPr>
          <w:rFonts w:hint="eastAsia" w:ascii="宋体" w:hAnsi="宋体" w:cs="宋体"/>
        </w:rPr>
        <w:t>度实现营业收入12亿元。甲公司认定上述租赁为经营租赁。不考虑增值税及其他因素，</w:t>
      </w:r>
    </w:p>
    <w:p>
      <w:pPr>
        <w:spacing w:line="360" w:lineRule="auto"/>
        <w:rPr>
          <w:rFonts w:hint="eastAsia" w:ascii="宋体" w:hAnsi="宋体" w:cs="宋体"/>
        </w:rPr>
      </w:pPr>
      <w:r>
        <w:rPr>
          <w:rFonts w:hint="eastAsia" w:ascii="宋体" w:hAnsi="宋体" w:cs="宋体"/>
        </w:rPr>
        <w:t>上述交易对甲公司2023年度营业利润的影响金额是（ ）。</w:t>
      </w:r>
    </w:p>
    <w:p>
      <w:pPr>
        <w:spacing w:line="360" w:lineRule="auto"/>
        <w:rPr>
          <w:rFonts w:ascii="宋体" w:hAnsi="宋体" w:cs="宋体"/>
        </w:rPr>
      </w:pPr>
      <w:r>
        <w:rPr>
          <w:rFonts w:hint="eastAsia" w:ascii="宋体" w:hAnsi="宋体" w:cs="宋体"/>
        </w:rPr>
        <w:t xml:space="preserve">A.570万元  B.600万元  C.670万元  D.700万元 </w:t>
      </w:r>
    </w:p>
    <w:p>
      <w:pPr>
        <w:spacing w:line="360" w:lineRule="auto"/>
        <w:rPr>
          <w:rFonts w:hint="eastAsia" w:ascii="宋体" w:hAnsi="宋体" w:cs="宋体"/>
        </w:rPr>
      </w:pPr>
      <w:r>
        <w:rPr>
          <w:rFonts w:hint="eastAsia" w:ascii="宋体" w:hAnsi="宋体" w:cs="宋体"/>
        </w:rPr>
        <w:t>4、甲公司从2×20年开始，受政府委托进口医药类特种丙原料，再将丙原料销售给国内生产企业，加工出丁产品并由政府定价后销售给最终用户，由于国际市场上丙原料的价格上涨，而国内丁产品的价格保持不变，形成进销价格倒挂的局面。2×24年之前，甲公司销售给生产企业的丙原料以进口价格为基础定价，国家财政弥补生产企业产生的进销差价； 2×24年以后，国家为规范管理，改为限定甲公司对生产企业的销售价格，然后由国家财政弥补甲公司的进销差价。不考虑其他因素，从上述交易的实质判断，下列关于甲公司从政府获得进销差价弥补的会计处理中，正确的是（ ）。</w:t>
      </w:r>
    </w:p>
    <w:p>
      <w:pPr>
        <w:spacing w:line="360" w:lineRule="auto"/>
        <w:rPr>
          <w:rFonts w:hint="eastAsia" w:ascii="宋体" w:hAnsi="宋体" w:cs="宋体"/>
        </w:rPr>
      </w:pPr>
      <w:r>
        <w:rPr>
          <w:rFonts w:hint="eastAsia" w:ascii="宋体" w:hAnsi="宋体" w:cs="宋体"/>
        </w:rPr>
        <w:t>A.确认为与收益相关的政府补助，直接计入当期其他收益</w:t>
      </w:r>
    </w:p>
    <w:p>
      <w:pPr>
        <w:spacing w:line="360" w:lineRule="auto"/>
        <w:rPr>
          <w:rFonts w:hint="eastAsia" w:ascii="宋体" w:hAnsi="宋体" w:cs="宋体"/>
        </w:rPr>
      </w:pPr>
      <w:r>
        <w:rPr>
          <w:rFonts w:hint="eastAsia" w:ascii="宋体" w:hAnsi="宋体" w:cs="宋体"/>
        </w:rPr>
        <w:t>B.确认为与销售丙原料相关的营业收入</w:t>
      </w:r>
    </w:p>
    <w:p>
      <w:pPr>
        <w:spacing w:line="360" w:lineRule="auto"/>
        <w:rPr>
          <w:rFonts w:hint="eastAsia" w:ascii="宋体" w:hAnsi="宋体" w:cs="宋体"/>
        </w:rPr>
      </w:pPr>
      <w:r>
        <w:rPr>
          <w:rFonts w:hint="eastAsia" w:ascii="宋体" w:hAnsi="宋体" w:cs="宋体"/>
        </w:rPr>
        <w:t xml:space="preserve">C.确认为所有者的资本性投入计入所有者权益  </w:t>
      </w:r>
    </w:p>
    <w:p>
      <w:pPr>
        <w:spacing w:line="360" w:lineRule="auto"/>
        <w:rPr>
          <w:rFonts w:hint="eastAsia" w:ascii="宋体" w:hAnsi="宋体" w:cs="宋体"/>
        </w:rPr>
      </w:pPr>
      <w:r>
        <w:rPr>
          <w:rFonts w:hint="eastAsia" w:ascii="宋体" w:hAnsi="宋体" w:cs="宋体"/>
        </w:rPr>
        <w:t>D.确认为与资产相关的政府补助，并按照销量比例在各期分摊计入营业外收入</w:t>
      </w:r>
    </w:p>
    <w:p>
      <w:pPr>
        <w:spacing w:line="360" w:lineRule="auto"/>
        <w:rPr>
          <w:rFonts w:ascii="宋体" w:hAnsi="宋体" w:cs="宋体"/>
        </w:rPr>
      </w:pPr>
      <w:r>
        <w:rPr>
          <w:rFonts w:hint="eastAsia" w:ascii="宋体" w:hAnsi="宋体" w:cs="宋体"/>
        </w:rPr>
        <w:t>5、下列关于股份支付会计处理的表述中，不正确的是（　）。</w:t>
      </w:r>
    </w:p>
    <w:p>
      <w:pPr>
        <w:spacing w:line="360" w:lineRule="auto"/>
        <w:rPr>
          <w:rFonts w:hint="eastAsia" w:ascii="宋体" w:hAnsi="宋体" w:cs="宋体"/>
        </w:rPr>
      </w:pPr>
      <w:r>
        <w:rPr>
          <w:rFonts w:hint="eastAsia" w:ascii="宋体" w:hAnsi="宋体" w:cs="宋体"/>
        </w:rPr>
        <w:t>A. 股份支付的确认和计量，应以符合相关法规要求、完整有效的股份支付协议为基础</w:t>
      </w:r>
    </w:p>
    <w:p>
      <w:pPr>
        <w:spacing w:line="360" w:lineRule="auto"/>
        <w:rPr>
          <w:rFonts w:ascii="宋体" w:hAnsi="宋体" w:cs="宋体"/>
        </w:rPr>
      </w:pPr>
      <w:r>
        <w:rPr>
          <w:rFonts w:hint="eastAsia" w:ascii="宋体" w:hAnsi="宋体" w:cs="宋体"/>
        </w:rPr>
        <w:t>B. 以权益结算的股份支付换取职工提供服务的，应按所授予权益工具在授予日的公允价值计量</w:t>
      </w:r>
    </w:p>
    <w:p>
      <w:pPr>
        <w:spacing w:line="360" w:lineRule="auto"/>
        <w:rPr>
          <w:rFonts w:hint="eastAsia" w:ascii="宋体" w:hAnsi="宋体" w:cs="宋体"/>
        </w:rPr>
      </w:pPr>
      <w:r>
        <w:rPr>
          <w:rFonts w:hint="eastAsia" w:ascii="宋体" w:hAnsi="宋体" w:cs="宋体"/>
        </w:rPr>
        <w:t>C. 对以现金结算的股份支付，在可行权日之后应将相关权益的公允价值变动计入当期损益</w:t>
      </w:r>
    </w:p>
    <w:p>
      <w:pPr>
        <w:spacing w:line="360" w:lineRule="auto"/>
        <w:rPr>
          <w:rFonts w:hint="eastAsia" w:ascii="宋体" w:hAnsi="宋体" w:cs="宋体"/>
        </w:rPr>
      </w:pPr>
      <w:r>
        <w:rPr>
          <w:rFonts w:hint="eastAsia" w:ascii="宋体" w:hAnsi="宋体" w:cs="宋体"/>
        </w:rPr>
        <w:t>D. 对以权益结算的股份支付，在可行权日之后应将相关的所有者权益按公允价值进行调整</w:t>
      </w:r>
    </w:p>
    <w:p>
      <w:pPr>
        <w:spacing w:line="360" w:lineRule="auto"/>
        <w:rPr>
          <w:rFonts w:hint="eastAsia" w:ascii="宋体" w:hAnsi="宋体" w:cs="宋体"/>
          <w:b/>
          <w:bCs/>
        </w:rPr>
      </w:pPr>
      <w:r>
        <w:rPr>
          <w:rFonts w:hint="eastAsia" w:ascii="宋体" w:hAnsi="宋体" w:cs="宋体"/>
          <w:b/>
          <w:bCs/>
        </w:rPr>
        <w:t>二、多项选择题</w:t>
      </w:r>
    </w:p>
    <w:p>
      <w:pPr>
        <w:spacing w:line="360" w:lineRule="auto"/>
        <w:rPr>
          <w:rFonts w:hint="eastAsia" w:ascii="宋体" w:hAnsi="宋体" w:cs="宋体"/>
        </w:rPr>
      </w:pPr>
      <w:r>
        <w:rPr>
          <w:rFonts w:hint="eastAsia" w:ascii="宋体" w:hAnsi="宋体" w:cs="宋体"/>
        </w:rPr>
        <w:t>1、下列各项中，无论是否有确凿证据表明资产存在减值迹象，均应至少于每年年末进行减值测试的有（ ）。</w:t>
      </w:r>
    </w:p>
    <w:p>
      <w:pPr>
        <w:spacing w:line="360" w:lineRule="auto"/>
        <w:rPr>
          <w:rFonts w:hint="eastAsia" w:ascii="宋体" w:hAnsi="宋体" w:cs="宋体"/>
        </w:rPr>
      </w:pPr>
      <w:r>
        <w:rPr>
          <w:rFonts w:hint="eastAsia" w:ascii="宋体" w:hAnsi="宋体" w:cs="宋体"/>
        </w:rPr>
        <w:t>A.对联营企业的长期股权投资</w:t>
      </w:r>
    </w:p>
    <w:p>
      <w:pPr>
        <w:spacing w:line="360" w:lineRule="auto"/>
        <w:rPr>
          <w:rFonts w:hint="eastAsia" w:ascii="宋体" w:hAnsi="宋体" w:cs="宋体"/>
        </w:rPr>
      </w:pPr>
      <w:r>
        <w:rPr>
          <w:rFonts w:hint="eastAsia" w:ascii="宋体" w:hAnsi="宋体" w:cs="宋体"/>
        </w:rPr>
        <w:t>B.使用寿命不确定的专利技术</w:t>
      </w:r>
    </w:p>
    <w:p>
      <w:pPr>
        <w:spacing w:line="360" w:lineRule="auto"/>
        <w:rPr>
          <w:rFonts w:hint="eastAsia" w:ascii="宋体" w:hAnsi="宋体" w:cs="宋体"/>
        </w:rPr>
      </w:pPr>
      <w:r>
        <w:rPr>
          <w:rFonts w:hint="eastAsia" w:ascii="宋体" w:hAnsi="宋体" w:cs="宋体"/>
        </w:rPr>
        <w:t>C.非同一控制下企业合并产生的商誉</w:t>
      </w:r>
    </w:p>
    <w:p>
      <w:pPr>
        <w:spacing w:line="360" w:lineRule="auto"/>
        <w:rPr>
          <w:rFonts w:hint="eastAsia" w:ascii="宋体" w:hAnsi="宋体" w:cs="宋体"/>
        </w:rPr>
      </w:pPr>
      <w:r>
        <w:rPr>
          <w:rFonts w:hint="eastAsia" w:ascii="宋体" w:hAnsi="宋体" w:cs="宋体"/>
        </w:rPr>
        <w:t xml:space="preserve">D.尚未达到预定可使用状态的无形资产 </w:t>
      </w:r>
    </w:p>
    <w:p>
      <w:pPr>
        <w:spacing w:line="360" w:lineRule="auto"/>
        <w:rPr>
          <w:rFonts w:hint="eastAsia" w:ascii="宋体" w:hAnsi="宋体" w:cs="宋体"/>
        </w:rPr>
      </w:pPr>
      <w:r>
        <w:rPr>
          <w:rFonts w:hint="eastAsia" w:ascii="宋体" w:hAnsi="宋体" w:cs="宋体"/>
        </w:rPr>
        <w:t>2、下列项目不可以计入融资租入固定资产价值的有（    ）。</w:t>
      </w:r>
    </w:p>
    <w:p>
      <w:pPr>
        <w:spacing w:line="360" w:lineRule="auto"/>
        <w:rPr>
          <w:rFonts w:hint="eastAsia" w:ascii="宋体" w:hAnsi="宋体" w:cs="宋体"/>
        </w:rPr>
      </w:pPr>
      <w:r>
        <w:rPr>
          <w:rFonts w:hint="eastAsia" w:ascii="宋体" w:hAnsi="宋体" w:cs="宋体"/>
        </w:rPr>
        <w:t>A．支付的与租赁有关的印花税              B．履约成本</w:t>
      </w:r>
    </w:p>
    <w:p>
      <w:pPr>
        <w:spacing w:line="360" w:lineRule="auto"/>
        <w:rPr>
          <w:rFonts w:hint="eastAsia" w:ascii="宋体" w:hAnsi="宋体" w:cs="宋体"/>
        </w:rPr>
      </w:pPr>
      <w:r>
        <w:rPr>
          <w:rFonts w:hint="eastAsia" w:ascii="宋体" w:hAnsi="宋体" w:cs="宋体"/>
        </w:rPr>
        <w:t>C．或有租金                              D．支付的固定资产的安装费</w:t>
      </w:r>
    </w:p>
    <w:p>
      <w:pPr>
        <w:spacing w:line="360" w:lineRule="auto"/>
        <w:rPr>
          <w:rFonts w:hint="eastAsia" w:ascii="宋体" w:hAnsi="宋体" w:cs="宋体"/>
        </w:rPr>
      </w:pPr>
      <w:r>
        <w:rPr>
          <w:rFonts w:hint="eastAsia" w:ascii="宋体" w:hAnsi="宋体" w:cs="宋体"/>
        </w:rPr>
        <w:t>3、股份支付中通常涉及可行权条件，其中业绩条件又可分为市场条件和非市场条件，那么下列属于市场条件的有（　）。</w:t>
      </w:r>
      <w:r>
        <w:rPr>
          <w:rFonts w:hint="eastAsia"/>
        </w:rPr>
        <w:t xml:space="preserve"> </w:t>
      </w:r>
    </w:p>
    <w:p>
      <w:pPr>
        <w:spacing w:line="360" w:lineRule="auto"/>
        <w:rPr>
          <w:rFonts w:hint="eastAsia" w:ascii="宋体" w:hAnsi="宋体" w:cs="宋体"/>
        </w:rPr>
      </w:pPr>
      <w:r>
        <w:rPr>
          <w:rFonts w:hint="eastAsia" w:ascii="宋体" w:hAnsi="宋体" w:cs="宋体"/>
        </w:rPr>
        <w:t>A.最低股价增长率     B.销售指标的实现情况   C.最低利润指标的实现  D.股东报酬率</w:t>
      </w:r>
    </w:p>
    <w:p>
      <w:pPr>
        <w:spacing w:line="360" w:lineRule="auto"/>
        <w:rPr>
          <w:rFonts w:hint="eastAsia" w:ascii="宋体" w:hAnsi="宋体" w:cs="宋体"/>
        </w:rPr>
      </w:pPr>
      <w:r>
        <w:rPr>
          <w:rFonts w:hint="eastAsia" w:ascii="宋体" w:hAnsi="宋体" w:cs="宋体"/>
        </w:rPr>
        <w:t>4、下列关于外币资产负债表折算的表述中，不符合企业会计准则规定的有（　）。</w:t>
      </w:r>
    </w:p>
    <w:p>
      <w:pPr>
        <w:spacing w:line="360" w:lineRule="auto"/>
        <w:rPr>
          <w:rFonts w:hint="eastAsia" w:ascii="宋体" w:hAnsi="宋体" w:cs="宋体"/>
        </w:rPr>
      </w:pPr>
      <w:r>
        <w:rPr>
          <w:rFonts w:hint="eastAsia" w:ascii="宋体" w:hAnsi="宋体" w:cs="宋体"/>
        </w:rPr>
        <w:t>A.实收资本项目按交易发生日的即期汇率折算</w:t>
      </w:r>
    </w:p>
    <w:p>
      <w:pPr>
        <w:spacing w:line="360" w:lineRule="auto"/>
        <w:rPr>
          <w:rFonts w:hint="eastAsia" w:ascii="宋体" w:hAnsi="宋体" w:cs="宋体"/>
        </w:rPr>
      </w:pPr>
      <w:r>
        <w:rPr>
          <w:rFonts w:hint="eastAsia" w:ascii="宋体" w:hAnsi="宋体" w:cs="宋体"/>
        </w:rPr>
        <w:t>B.未分配利润项目按交易发生日的即期汇率折算</w:t>
      </w:r>
    </w:p>
    <w:p>
      <w:pPr>
        <w:spacing w:line="360" w:lineRule="auto"/>
        <w:rPr>
          <w:rFonts w:hint="eastAsia" w:ascii="宋体" w:hAnsi="宋体" w:cs="宋体"/>
        </w:rPr>
      </w:pPr>
      <w:r>
        <w:rPr>
          <w:rFonts w:hint="eastAsia" w:ascii="宋体" w:hAnsi="宋体" w:cs="宋体"/>
        </w:rPr>
        <w:t>C.资产项目按交易发生日即期汇率的近似汇率折算</w:t>
      </w:r>
    </w:p>
    <w:p>
      <w:pPr>
        <w:spacing w:line="360" w:lineRule="auto"/>
        <w:rPr>
          <w:rFonts w:hint="eastAsia" w:ascii="宋体" w:hAnsi="宋体" w:cs="宋体"/>
        </w:rPr>
      </w:pPr>
      <w:r>
        <w:rPr>
          <w:rFonts w:hint="eastAsia" w:ascii="宋体" w:hAnsi="宋体" w:cs="宋体"/>
        </w:rPr>
        <w:t xml:space="preserve">D.负债项目按资产负债表日即期汇率的近似汇率折算 </w:t>
      </w:r>
    </w:p>
    <w:p>
      <w:pPr>
        <w:spacing w:line="360" w:lineRule="auto"/>
        <w:rPr>
          <w:rFonts w:hint="eastAsia" w:ascii="宋体" w:hAnsi="宋体" w:cs="宋体"/>
        </w:rPr>
      </w:pPr>
      <w:r>
        <w:rPr>
          <w:rFonts w:hint="eastAsia" w:ascii="宋体" w:hAnsi="宋体" w:cs="宋体"/>
        </w:rPr>
        <w:t>5、在租赁合同中没有规定优惠购买选择权的情况下，构成出租人的最低租赁收款额的有 （　）。</w:t>
      </w:r>
    </w:p>
    <w:p>
      <w:pPr>
        <w:spacing w:line="360" w:lineRule="auto"/>
        <w:rPr>
          <w:rFonts w:hint="eastAsia" w:ascii="宋体" w:hAnsi="宋体" w:cs="宋体"/>
        </w:rPr>
      </w:pPr>
      <w:r>
        <w:rPr>
          <w:rFonts w:hint="eastAsia" w:ascii="宋体" w:hAnsi="宋体" w:cs="宋体"/>
        </w:rPr>
        <w:t>A.租赁期内，承租人支付的租金之和     B.租赁期届满时，由承租人担保的资产余值</w:t>
      </w:r>
    </w:p>
    <w:p>
      <w:pPr>
        <w:spacing w:line="360" w:lineRule="auto"/>
        <w:rPr>
          <w:rFonts w:hint="eastAsia" w:ascii="宋体" w:hAnsi="宋体" w:cs="宋体"/>
        </w:rPr>
      </w:pPr>
      <w:r>
        <w:rPr>
          <w:rFonts w:hint="eastAsia" w:ascii="宋体" w:hAnsi="宋体" w:cs="宋体"/>
        </w:rPr>
        <w:t>C.租赁期届满时，与承租人有关的第三方担保的资产余值</w:t>
      </w:r>
    </w:p>
    <w:p>
      <w:pPr>
        <w:spacing w:line="360" w:lineRule="auto"/>
        <w:rPr>
          <w:rFonts w:hint="eastAsia" w:ascii="宋体" w:hAnsi="宋体" w:cs="宋体"/>
        </w:rPr>
      </w:pPr>
      <w:r>
        <w:rPr>
          <w:rFonts w:hint="eastAsia" w:ascii="宋体" w:hAnsi="宋体" w:cs="宋体"/>
        </w:rPr>
        <w:t>D.租赁期届满时，由与承租人和出租人均无关的第三方担保的资产余值</w:t>
      </w:r>
    </w:p>
    <w:p>
      <w:pPr>
        <w:spacing w:line="360" w:lineRule="auto"/>
        <w:rPr>
          <w:rFonts w:ascii="宋体" w:hAnsi="宋体" w:cs="宋体"/>
        </w:rPr>
      </w:pPr>
      <w:r>
        <w:rPr>
          <w:rFonts w:hint="eastAsia" w:ascii="宋体" w:hAnsi="宋体" w:cs="宋体"/>
        </w:rPr>
        <w:t>6、下列有关所得税的论断中，正确的有（　）。</w:t>
      </w:r>
    </w:p>
    <w:p>
      <w:pPr>
        <w:spacing w:line="360" w:lineRule="auto"/>
        <w:rPr>
          <w:rFonts w:hint="eastAsia" w:ascii="宋体" w:hAnsi="宋体" w:cs="宋体"/>
        </w:rPr>
      </w:pPr>
      <w:r>
        <w:rPr>
          <w:rFonts w:hint="eastAsia" w:ascii="宋体" w:hAnsi="宋体" w:cs="宋体"/>
        </w:rPr>
        <w:t>A.其他权益工具投资的公允价值高于初始成本时形成应纳税暂时性差异，进而产生递延所得税费用</w:t>
      </w:r>
    </w:p>
    <w:p>
      <w:pPr>
        <w:spacing w:line="360" w:lineRule="auto"/>
        <w:rPr>
          <w:rFonts w:hint="eastAsia" w:ascii="宋体" w:hAnsi="宋体" w:cs="宋体"/>
        </w:rPr>
      </w:pPr>
      <w:r>
        <w:rPr>
          <w:rFonts w:hint="eastAsia" w:ascii="宋体" w:hAnsi="宋体" w:cs="宋体"/>
        </w:rPr>
        <w:t>B.因罚没支出形成的预计负债匹配可抵扣暂时性差异</w:t>
      </w:r>
    </w:p>
    <w:p>
      <w:pPr>
        <w:spacing w:line="360" w:lineRule="auto"/>
        <w:rPr>
          <w:rFonts w:hint="eastAsia" w:ascii="宋体" w:hAnsi="宋体" w:cs="宋体"/>
        </w:rPr>
      </w:pPr>
      <w:r>
        <w:rPr>
          <w:rFonts w:hint="eastAsia" w:ascii="宋体" w:hAnsi="宋体" w:cs="宋体"/>
        </w:rPr>
        <w:t>C.如果税务认定收到预收款即为收入实现，则合同负债账面价值大于计税基础，匹配可抵扣暂时性差异</w:t>
      </w:r>
    </w:p>
    <w:p>
      <w:pPr>
        <w:spacing w:line="360" w:lineRule="auto"/>
        <w:rPr>
          <w:rFonts w:hint="eastAsia" w:ascii="宋体" w:hAnsi="宋体" w:cs="宋体"/>
        </w:rPr>
      </w:pPr>
      <w:r>
        <w:rPr>
          <w:rFonts w:hint="eastAsia" w:ascii="宋体" w:hAnsi="宋体" w:cs="宋体"/>
        </w:rPr>
        <w:t>D.无形资产开发支出允许资本化的部分在税务上允许追列75%，形成可抵扣暂时性差异</w:t>
      </w:r>
    </w:p>
    <w:p>
      <w:pPr>
        <w:spacing w:line="360" w:lineRule="auto"/>
        <w:rPr>
          <w:rFonts w:hint="eastAsia" w:ascii="宋体" w:hAnsi="宋体" w:cs="宋体"/>
        </w:rPr>
      </w:pPr>
      <w:r>
        <w:rPr>
          <w:rFonts w:hint="eastAsia" w:ascii="宋体" w:hAnsi="宋体" w:cs="宋体"/>
        </w:rPr>
        <w:t>7、“所得税费用”账户核算的内容，正确的有 ( )。 </w:t>
      </w:r>
    </w:p>
    <w:p>
      <w:pPr>
        <w:spacing w:line="360" w:lineRule="auto"/>
        <w:rPr>
          <w:rFonts w:hint="eastAsia" w:ascii="宋体" w:hAnsi="宋体" w:cs="宋体"/>
        </w:rPr>
      </w:pPr>
      <w:r>
        <w:rPr>
          <w:rFonts w:hint="eastAsia" w:ascii="宋体" w:hAnsi="宋体" w:cs="宋体"/>
        </w:rPr>
        <w:t xml:space="preserve">A．借方登记当期所得税费用  </w:t>
      </w:r>
    </w:p>
    <w:p>
      <w:pPr>
        <w:spacing w:line="360" w:lineRule="auto"/>
        <w:rPr>
          <w:rFonts w:hint="eastAsia" w:ascii="宋体" w:hAnsi="宋体" w:cs="宋体"/>
        </w:rPr>
      </w:pPr>
      <w:r>
        <w:rPr>
          <w:rFonts w:hint="eastAsia" w:ascii="宋体" w:hAnsi="宋体" w:cs="宋体"/>
        </w:rPr>
        <w:t>B．贷方登记递延所得税费用的增加额 </w:t>
      </w:r>
    </w:p>
    <w:p>
      <w:pPr>
        <w:spacing w:line="360" w:lineRule="auto"/>
        <w:rPr>
          <w:rFonts w:hint="eastAsia" w:ascii="宋体" w:hAnsi="宋体" w:cs="宋体"/>
        </w:rPr>
      </w:pPr>
      <w:r>
        <w:rPr>
          <w:rFonts w:hint="eastAsia" w:ascii="宋体" w:hAnsi="宋体" w:cs="宋体"/>
        </w:rPr>
        <w:t>C．借方登记递延所得税费用的增加额 </w:t>
      </w:r>
    </w:p>
    <w:p>
      <w:pPr>
        <w:spacing w:line="360" w:lineRule="auto"/>
        <w:rPr>
          <w:rFonts w:hint="eastAsia" w:ascii="宋体" w:hAnsi="宋体" w:cs="宋体"/>
        </w:rPr>
      </w:pPr>
      <w:r>
        <w:rPr>
          <w:rFonts w:hint="eastAsia" w:ascii="宋体" w:hAnsi="宋体" w:cs="宋体"/>
        </w:rPr>
        <w:t>D．贷方登记递延所得税费用的减少额 </w:t>
      </w:r>
    </w:p>
    <w:p>
      <w:pPr>
        <w:spacing w:line="360" w:lineRule="auto"/>
        <w:rPr>
          <w:rFonts w:hint="eastAsia" w:ascii="宋体" w:hAnsi="宋体" w:cs="宋体"/>
        </w:rPr>
      </w:pPr>
      <w:r>
        <w:rPr>
          <w:rFonts w:hint="eastAsia" w:ascii="宋体" w:hAnsi="宋体" w:cs="宋体"/>
        </w:rPr>
        <w:t>8、下列各种情形中，会产生可抵扣暂时性差异的有（）</w:t>
      </w:r>
      <w:r>
        <w:rPr>
          <w:rFonts w:hint="eastAsia"/>
        </w:rPr>
        <w:t xml:space="preserve"> </w:t>
      </w:r>
    </w:p>
    <w:p>
      <w:pPr>
        <w:spacing w:line="360" w:lineRule="auto"/>
        <w:rPr>
          <w:rFonts w:hint="eastAsia" w:ascii="宋体" w:hAnsi="宋体" w:cs="宋体"/>
        </w:rPr>
      </w:pPr>
      <w:r>
        <w:rPr>
          <w:rFonts w:hint="eastAsia" w:ascii="宋体" w:hAnsi="宋体" w:cs="宋体"/>
        </w:rPr>
        <w:t xml:space="preserve">A.资产的账面价值大于其计税基础  </w:t>
      </w:r>
      <w:r>
        <w:rPr>
          <w:rFonts w:hint="eastAsia" w:ascii="宋体" w:hAnsi="宋体" w:cs="宋体"/>
        </w:rPr>
        <w:tab/>
      </w:r>
      <w:r>
        <w:rPr>
          <w:rFonts w:hint="eastAsia" w:ascii="宋体" w:hAnsi="宋体" w:cs="宋体"/>
        </w:rPr>
        <w:t>B.资产的账面价值小于其计税基础</w:t>
      </w:r>
    </w:p>
    <w:p>
      <w:pPr>
        <w:spacing w:line="360" w:lineRule="auto"/>
        <w:rPr>
          <w:rFonts w:hint="eastAsia" w:ascii="宋体" w:hAnsi="宋体" w:cs="宋体"/>
        </w:rPr>
      </w:pPr>
      <w:r>
        <w:rPr>
          <w:rFonts w:hint="eastAsia" w:ascii="宋体" w:hAnsi="宋体" w:cs="宋体"/>
        </w:rPr>
        <w:t>C.负债的账面价值大于其计税基础</w:t>
      </w:r>
      <w:r>
        <w:rPr>
          <w:rFonts w:hint="eastAsia" w:ascii="宋体" w:hAnsi="宋体" w:cs="宋体"/>
        </w:rPr>
        <w:tab/>
      </w:r>
      <w:r>
        <w:rPr>
          <w:rFonts w:hint="eastAsia" w:ascii="宋体" w:hAnsi="宋体" w:cs="宋体"/>
        </w:rPr>
        <w:t xml:space="preserve">    D.负债的账面价值小于其计税基础</w:t>
      </w:r>
    </w:p>
    <w:p>
      <w:pPr>
        <w:spacing w:line="360" w:lineRule="auto"/>
        <w:rPr>
          <w:rFonts w:hint="eastAsia" w:ascii="宋体" w:hAnsi="宋体" w:cs="宋体"/>
        </w:rPr>
      </w:pPr>
      <w:r>
        <w:rPr>
          <w:rFonts w:hint="eastAsia" w:ascii="宋体" w:hAnsi="宋体" w:cs="宋体"/>
        </w:rPr>
        <w:t>9、以下可以作为资产的公允价值减去处置费用后的净额的是（ ）。</w:t>
      </w:r>
      <w:r>
        <w:rPr>
          <w:rFonts w:hint="eastAsia"/>
        </w:rPr>
        <w:t xml:space="preserve"> </w:t>
      </w:r>
    </w:p>
    <w:p>
      <w:pPr>
        <w:spacing w:line="360" w:lineRule="auto"/>
        <w:rPr>
          <w:rFonts w:hint="eastAsia" w:ascii="宋体" w:hAnsi="宋体" w:cs="宋体"/>
        </w:rPr>
      </w:pPr>
      <w:r>
        <w:rPr>
          <w:rFonts w:hint="eastAsia" w:ascii="宋体" w:hAnsi="宋体" w:cs="宋体"/>
        </w:rPr>
        <w:t>A．根据公平交易中资产的销售协议价格减去可直接归属于该资产处置费用后的金额</w:t>
      </w:r>
    </w:p>
    <w:p>
      <w:pPr>
        <w:spacing w:line="360" w:lineRule="auto"/>
        <w:rPr>
          <w:rFonts w:hint="eastAsia" w:ascii="宋体" w:hAnsi="宋体" w:cs="宋体"/>
        </w:rPr>
      </w:pPr>
      <w:r>
        <w:rPr>
          <w:rFonts w:hint="eastAsia" w:ascii="宋体" w:hAnsi="宋体" w:cs="宋体"/>
        </w:rPr>
        <w:t>B．资产的市场价格减去处置费用后的金额</w:t>
      </w:r>
    </w:p>
    <w:p>
      <w:pPr>
        <w:spacing w:line="360" w:lineRule="auto"/>
        <w:rPr>
          <w:rFonts w:hint="eastAsia" w:ascii="宋体" w:hAnsi="宋体" w:cs="宋体"/>
        </w:rPr>
      </w:pPr>
      <w:r>
        <w:rPr>
          <w:rFonts w:hint="eastAsia" w:ascii="宋体" w:hAnsi="宋体" w:cs="宋体"/>
        </w:rPr>
        <w:t>C．如果不存在资产销售协议和资产活跃市场的，根据在资产负债表日处置资产，熟悉情况的交易双方自愿进行公平交易愿意提供的交易价格减去处置费用后的金额</w:t>
      </w:r>
    </w:p>
    <w:p>
      <w:pPr>
        <w:spacing w:line="360" w:lineRule="auto"/>
        <w:rPr>
          <w:rFonts w:hint="eastAsia" w:ascii="宋体" w:hAnsi="宋体" w:cs="宋体"/>
        </w:rPr>
      </w:pPr>
      <w:r>
        <w:rPr>
          <w:rFonts w:hint="eastAsia" w:ascii="宋体" w:hAnsi="宋体" w:cs="宋体"/>
        </w:rPr>
        <w:t>D．该资产的预计未来现金流量现值减去资产负债表日处置资产的处置费用后的金额</w:t>
      </w:r>
    </w:p>
    <w:p>
      <w:pPr>
        <w:rPr>
          <w:rFonts w:hint="eastAsia" w:ascii="宋体" w:hAnsi="宋体" w:eastAsia="宋体" w:cs="宋体"/>
          <w:b/>
          <w:bCs/>
        </w:rPr>
      </w:pPr>
      <w:r>
        <w:rPr>
          <w:rFonts w:hint="eastAsia" w:ascii="宋体" w:hAnsi="宋体" w:eastAsia="宋体" w:cs="宋体"/>
          <w:b/>
          <w:bCs/>
        </w:rPr>
        <w:t>三、简单题</w:t>
      </w:r>
    </w:p>
    <w:p>
      <w:pPr>
        <w:spacing w:line="360" w:lineRule="auto"/>
        <w:rPr>
          <w:rFonts w:hint="eastAsia" w:ascii="宋体" w:hAnsi="宋体" w:cs="宋体"/>
        </w:rPr>
      </w:pPr>
      <w:r>
        <w:rPr>
          <w:rFonts w:hint="eastAsia" w:ascii="宋体" w:hAnsi="宋体" w:cs="宋体"/>
        </w:rPr>
        <w:t>简述融资租赁和经营租赁的区别。</w:t>
      </w:r>
    </w:p>
    <w:p>
      <w:pPr>
        <w:spacing w:line="360" w:lineRule="auto"/>
        <w:rPr>
          <w:rFonts w:hint="eastAsia" w:ascii="宋体" w:hAnsi="宋体" w:cs="宋体"/>
        </w:rPr>
      </w:pPr>
    </w:p>
    <w:p>
      <w:pPr>
        <w:spacing w:line="360" w:lineRule="auto"/>
        <w:rPr>
          <w:rFonts w:hint="eastAsia" w:ascii="宋体" w:hAnsi="宋体" w:cs="宋体"/>
        </w:rPr>
      </w:pPr>
    </w:p>
    <w:p>
      <w:pPr>
        <w:jc w:val="left"/>
        <w:rPr>
          <w:rFonts w:hint="eastAsia" w:ascii="FZKTK--GBK1-0" w:hAnsi="FZKTK--GBK1-0" w:eastAsia="FZKTK--GBK1-0"/>
        </w:rPr>
      </w:pPr>
    </w:p>
    <w:p>
      <w:pPr>
        <w:jc w:val="left"/>
        <w:rPr>
          <w:rFonts w:hint="eastAsia" w:ascii="宋体" w:hAnsi="宋体" w:eastAsia="宋体" w:cs="宋体"/>
          <w:b/>
          <w:bCs/>
        </w:rPr>
      </w:pPr>
      <w:r>
        <w:rPr>
          <w:rFonts w:hint="eastAsia" w:ascii="宋体" w:hAnsi="宋体" w:eastAsia="宋体" w:cs="宋体"/>
          <w:b/>
          <w:bCs/>
        </w:rPr>
        <w:t>四、业务处理题</w:t>
      </w:r>
    </w:p>
    <w:p>
      <w:pPr>
        <w:jc w:val="left"/>
        <w:rPr>
          <w:rFonts w:hint="eastAsia" w:ascii="FZKTK--GBK1-0" w:hAnsi="FZKTK--GBK1-0" w:eastAsia="FZKTK--GBK1-0"/>
        </w:rPr>
      </w:pPr>
      <w:r>
        <w:rPr>
          <w:rFonts w:hint="eastAsia" w:ascii="FZKTK--GBK1-0" w:hAnsi="FZKTK--GBK1-0" w:eastAsia="FZKTK--GBK1-0"/>
        </w:rPr>
        <w:t>1、（</w:t>
      </w:r>
      <w:r>
        <w:rPr>
          <w:rFonts w:ascii="FZKTK--GBK1-0" w:hAnsi="FZKTK--GBK1-0" w:eastAsia="FZKTK--GBK1-0"/>
        </w:rPr>
        <w:t>13</w:t>
      </w:r>
      <w:r>
        <w:rPr>
          <w:rFonts w:hint="eastAsia" w:ascii="FZKTK--GBK1-0" w:hAnsi="FZKTK--GBK1-0" w:eastAsia="FZKTK--GBK1-0"/>
        </w:rPr>
        <w:t>分）甲公司拥有总部资产和两条独立生产线（第一和第二生产线），两条生产线被认定为两个资产组。2×23年年末总部资产和两个资产组的账面价值分别为200万元、560万元和420万元。第二生产线由A设备和B设备组成，当年年末的账面价值分别为294万元和126万元。由于外部原因使生产线出现减值的迹象，需要进行减值测试。在测试过程中，总部资产的账面价值可以在合理和一致的基础上分摊至各资产组，其分摊标准是各资产组的账面价值和剩余使用寿命加权平均计算的账面价值作为分摊的依据。两个资产组的剩余使用寿命分别为5年和10年。经测试两个资产组的可收回金额分别为650万元和500万元。不考虑其他相关因素。</w:t>
      </w:r>
    </w:p>
    <w:p>
      <w:pPr>
        <w:jc w:val="left"/>
        <w:rPr>
          <w:rFonts w:hint="eastAsia" w:ascii="FZKTK--GBK1-0" w:hAnsi="FZKTK--GBK1-0" w:eastAsia="FZKTK--GBK1-0"/>
        </w:rPr>
      </w:pPr>
      <w:r>
        <w:rPr>
          <w:rFonts w:hint="eastAsia" w:ascii="FZKTK--GBK1-0" w:hAnsi="FZKTK--GBK1-0" w:eastAsia="FZKTK--GBK1-0"/>
        </w:rPr>
        <w:t>要求：</w:t>
      </w:r>
    </w:p>
    <w:p>
      <w:pPr>
        <w:numPr>
          <w:ilvl w:val="0"/>
          <w:numId w:val="1"/>
        </w:numPr>
        <w:spacing w:line="360" w:lineRule="auto"/>
        <w:rPr>
          <w:rFonts w:hint="eastAsia"/>
        </w:rPr>
      </w:pPr>
      <w:r>
        <w:rPr>
          <w:rFonts w:hint="eastAsia"/>
        </w:rPr>
        <w:t>将总部资产分配至各资产组。</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3"/>
        <w:gridCol w:w="1285"/>
        <w:gridCol w:w="1313"/>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noWrap w:val="0"/>
            <w:vAlign w:val="top"/>
          </w:tcPr>
          <w:p>
            <w:pPr>
              <w:spacing w:line="360" w:lineRule="auto"/>
            </w:pPr>
            <w:r>
              <w:rPr>
                <w:rFonts w:hint="eastAsia"/>
              </w:rPr>
              <w:t>项目</w:t>
            </w:r>
          </w:p>
        </w:tc>
        <w:tc>
          <w:tcPr>
            <w:tcW w:w="1324" w:type="dxa"/>
            <w:noWrap w:val="0"/>
            <w:vAlign w:val="top"/>
          </w:tcPr>
          <w:p>
            <w:pPr>
              <w:spacing w:line="360" w:lineRule="auto"/>
            </w:pPr>
            <w:r>
              <w:rPr>
                <w:rFonts w:hint="eastAsia"/>
              </w:rPr>
              <w:t>第一生产线</w:t>
            </w:r>
          </w:p>
        </w:tc>
        <w:tc>
          <w:tcPr>
            <w:tcW w:w="1353" w:type="dxa"/>
            <w:noWrap w:val="0"/>
            <w:vAlign w:val="top"/>
          </w:tcPr>
          <w:p>
            <w:pPr>
              <w:spacing w:line="360" w:lineRule="auto"/>
            </w:pPr>
            <w:r>
              <w:rPr>
                <w:rFonts w:hint="eastAsia"/>
              </w:rPr>
              <w:t>第二生产线</w:t>
            </w:r>
          </w:p>
        </w:tc>
        <w:tc>
          <w:tcPr>
            <w:tcW w:w="766" w:type="dxa"/>
            <w:noWrap w:val="0"/>
            <w:vAlign w:val="top"/>
          </w:tcPr>
          <w:p>
            <w:pPr>
              <w:spacing w:line="360" w:lineRule="auto"/>
            </w:pPr>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noWrap w:val="0"/>
            <w:vAlign w:val="top"/>
          </w:tcPr>
          <w:p>
            <w:pPr>
              <w:spacing w:line="360" w:lineRule="auto"/>
            </w:pPr>
            <w:r>
              <w:rPr>
                <w:rFonts w:hint="eastAsia"/>
              </w:rPr>
              <w:t>各资产组账面价值</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5388" w:type="dxa"/>
            <w:noWrap w:val="0"/>
            <w:vAlign w:val="top"/>
          </w:tcPr>
          <w:p>
            <w:pPr>
              <w:spacing w:line="360" w:lineRule="auto"/>
            </w:pPr>
            <w:r>
              <w:rPr>
                <w:rFonts w:hint="eastAsia"/>
              </w:rPr>
              <w:t>各资产组剩余使用寿命</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388" w:type="dxa"/>
            <w:noWrap w:val="0"/>
            <w:vAlign w:val="top"/>
          </w:tcPr>
          <w:p>
            <w:pPr>
              <w:spacing w:line="360" w:lineRule="auto"/>
            </w:pPr>
            <w:r>
              <w:rPr>
                <w:rFonts w:hint="eastAsia"/>
              </w:rPr>
              <w:t>按使用寿命计算的权重</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noWrap w:val="0"/>
            <w:vAlign w:val="top"/>
          </w:tcPr>
          <w:p>
            <w:pPr>
              <w:spacing w:line="360" w:lineRule="auto"/>
            </w:pPr>
            <w:r>
              <w:rPr>
                <w:rFonts w:hint="eastAsia"/>
              </w:rPr>
              <w:t>加权计算后的账面价值</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noWrap w:val="0"/>
            <w:vAlign w:val="top"/>
          </w:tcPr>
          <w:p>
            <w:pPr>
              <w:spacing w:line="360" w:lineRule="auto"/>
            </w:pPr>
            <w:r>
              <w:rPr>
                <w:rFonts w:hint="eastAsia"/>
              </w:rPr>
              <w:t>总部资产分摊比例</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noWrap w:val="0"/>
            <w:vAlign w:val="top"/>
          </w:tcPr>
          <w:p>
            <w:pPr>
              <w:spacing w:line="360" w:lineRule="auto"/>
            </w:pPr>
            <w:r>
              <w:rPr>
                <w:rFonts w:hint="eastAsia"/>
              </w:rPr>
              <w:t>总部资产账面价值分摊到各资产组的金额</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noWrap w:val="0"/>
            <w:vAlign w:val="top"/>
          </w:tcPr>
          <w:p>
            <w:pPr>
              <w:spacing w:line="360" w:lineRule="auto"/>
            </w:pPr>
            <w:r>
              <w:rPr>
                <w:rFonts w:hint="eastAsia"/>
              </w:rPr>
              <w:t>包括分摊的总部资产账面价值部分的各资产组账面价值</w:t>
            </w:r>
          </w:p>
        </w:tc>
        <w:tc>
          <w:tcPr>
            <w:tcW w:w="1324" w:type="dxa"/>
            <w:noWrap w:val="0"/>
            <w:vAlign w:val="top"/>
          </w:tcPr>
          <w:p>
            <w:pPr>
              <w:spacing w:line="360" w:lineRule="auto"/>
            </w:pPr>
          </w:p>
        </w:tc>
        <w:tc>
          <w:tcPr>
            <w:tcW w:w="1353" w:type="dxa"/>
            <w:noWrap w:val="0"/>
            <w:vAlign w:val="top"/>
          </w:tcPr>
          <w:p>
            <w:pPr>
              <w:spacing w:line="360" w:lineRule="auto"/>
            </w:pPr>
          </w:p>
        </w:tc>
        <w:tc>
          <w:tcPr>
            <w:tcW w:w="766" w:type="dxa"/>
            <w:noWrap w:val="0"/>
            <w:vAlign w:val="top"/>
          </w:tcPr>
          <w:p>
            <w:pPr>
              <w:spacing w:line="360" w:lineRule="auto"/>
            </w:pPr>
          </w:p>
        </w:tc>
      </w:tr>
    </w:tbl>
    <w:p>
      <w:pPr>
        <w:numPr>
          <w:ilvl w:val="0"/>
          <w:numId w:val="1"/>
        </w:numPr>
        <w:spacing w:line="360" w:lineRule="auto"/>
        <w:rPr>
          <w:rFonts w:hint="eastAsia"/>
        </w:rPr>
      </w:pPr>
      <w:r>
        <w:rPr>
          <w:rFonts w:hint="eastAsia"/>
        </w:rPr>
        <w:t>将分摊总部资产后的各资产组账面价值与其可收回金额进行比较，确定应计提减值准备的金额。</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2865"/>
        <w:gridCol w:w="2135"/>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noWrap w:val="0"/>
            <w:vAlign w:val="top"/>
          </w:tcPr>
          <w:p>
            <w:pPr>
              <w:spacing w:line="360" w:lineRule="auto"/>
            </w:pPr>
            <w:r>
              <w:rPr>
                <w:rFonts w:hint="eastAsia"/>
              </w:rPr>
              <w:t>资产组合</w:t>
            </w:r>
          </w:p>
        </w:tc>
        <w:tc>
          <w:tcPr>
            <w:tcW w:w="2976" w:type="dxa"/>
            <w:noWrap w:val="0"/>
            <w:vAlign w:val="top"/>
          </w:tcPr>
          <w:p>
            <w:pPr>
              <w:spacing w:line="360" w:lineRule="auto"/>
            </w:pPr>
            <w:r>
              <w:rPr>
                <w:rFonts w:hint="eastAsia"/>
              </w:rPr>
              <w:t>分摊总部资产后的账面价值</w:t>
            </w:r>
          </w:p>
        </w:tc>
        <w:tc>
          <w:tcPr>
            <w:tcW w:w="2212" w:type="dxa"/>
            <w:noWrap w:val="0"/>
            <w:vAlign w:val="top"/>
          </w:tcPr>
          <w:p>
            <w:pPr>
              <w:spacing w:line="360" w:lineRule="auto"/>
            </w:pPr>
            <w:r>
              <w:rPr>
                <w:rFonts w:hint="eastAsia"/>
              </w:rPr>
              <w:t>可收回金额</w:t>
            </w:r>
          </w:p>
        </w:tc>
        <w:tc>
          <w:tcPr>
            <w:tcW w:w="2204" w:type="dxa"/>
            <w:noWrap w:val="0"/>
            <w:vAlign w:val="top"/>
          </w:tcPr>
          <w:p>
            <w:pPr>
              <w:spacing w:line="360" w:lineRule="auto"/>
            </w:pPr>
            <w:r>
              <w:rPr>
                <w:rFonts w:hint="eastAsia"/>
              </w:rPr>
              <w:t>应计提减值准备金额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noWrap w:val="0"/>
            <w:vAlign w:val="top"/>
          </w:tcPr>
          <w:p>
            <w:pPr>
              <w:spacing w:line="360" w:lineRule="auto"/>
            </w:pPr>
            <w:r>
              <w:rPr>
                <w:rFonts w:hint="eastAsia"/>
              </w:rPr>
              <w:t>第一生产线</w:t>
            </w:r>
          </w:p>
        </w:tc>
        <w:tc>
          <w:tcPr>
            <w:tcW w:w="2976" w:type="dxa"/>
            <w:noWrap w:val="0"/>
            <w:vAlign w:val="top"/>
          </w:tcPr>
          <w:p>
            <w:pPr>
              <w:spacing w:line="360" w:lineRule="auto"/>
            </w:pPr>
          </w:p>
        </w:tc>
        <w:tc>
          <w:tcPr>
            <w:tcW w:w="2212" w:type="dxa"/>
            <w:noWrap w:val="0"/>
            <w:vAlign w:val="top"/>
          </w:tcPr>
          <w:p>
            <w:pPr>
              <w:spacing w:line="360" w:lineRule="auto"/>
            </w:pPr>
          </w:p>
        </w:tc>
        <w:tc>
          <w:tcPr>
            <w:tcW w:w="2204"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noWrap w:val="0"/>
            <w:vAlign w:val="top"/>
          </w:tcPr>
          <w:p>
            <w:pPr>
              <w:spacing w:line="360" w:lineRule="auto"/>
            </w:pPr>
            <w:r>
              <w:rPr>
                <w:rFonts w:hint="eastAsia"/>
              </w:rPr>
              <w:t>第二生产线</w:t>
            </w:r>
          </w:p>
        </w:tc>
        <w:tc>
          <w:tcPr>
            <w:tcW w:w="2976" w:type="dxa"/>
            <w:noWrap w:val="0"/>
            <w:vAlign w:val="top"/>
          </w:tcPr>
          <w:p>
            <w:pPr>
              <w:spacing w:line="360" w:lineRule="auto"/>
            </w:pPr>
          </w:p>
        </w:tc>
        <w:tc>
          <w:tcPr>
            <w:tcW w:w="2212" w:type="dxa"/>
            <w:noWrap w:val="0"/>
            <w:vAlign w:val="top"/>
          </w:tcPr>
          <w:p>
            <w:pPr>
              <w:spacing w:line="360" w:lineRule="auto"/>
            </w:pPr>
          </w:p>
        </w:tc>
        <w:tc>
          <w:tcPr>
            <w:tcW w:w="2204" w:type="dxa"/>
            <w:noWrap w:val="0"/>
            <w:vAlign w:val="top"/>
          </w:tcPr>
          <w:p>
            <w:pPr>
              <w:spacing w:line="360" w:lineRule="auto"/>
            </w:pPr>
          </w:p>
        </w:tc>
      </w:tr>
    </w:tbl>
    <w:p>
      <w:pPr>
        <w:numPr>
          <w:ilvl w:val="0"/>
          <w:numId w:val="1"/>
        </w:numPr>
        <w:spacing w:line="360" w:lineRule="auto"/>
        <w:rPr>
          <w:rFonts w:hint="eastAsia"/>
        </w:rPr>
      </w:pPr>
      <w:r>
        <w:rPr>
          <w:rFonts w:hint="eastAsia"/>
        </w:rPr>
        <w:t>将各资产组的减值额在总部资产和各资产组之间分配。</w:t>
      </w:r>
    </w:p>
    <w:p>
      <w:pPr>
        <w:spacing w:line="360" w:lineRule="auto"/>
        <w:rPr>
          <w:rFonts w:hint="eastAsia"/>
        </w:rPr>
      </w:pPr>
    </w:p>
    <w:p>
      <w:pPr>
        <w:spacing w:line="360" w:lineRule="auto"/>
        <w:rPr>
          <w:rFonts w:hint="eastAsia"/>
        </w:rPr>
      </w:pPr>
    </w:p>
    <w:p>
      <w:pPr>
        <w:spacing w:line="360" w:lineRule="auto"/>
        <w:rPr>
          <w:rFonts w:hint="eastAsia"/>
        </w:rPr>
      </w:pPr>
    </w:p>
    <w:p>
      <w:pPr>
        <w:numPr>
          <w:ilvl w:val="0"/>
          <w:numId w:val="1"/>
        </w:numPr>
        <w:spacing w:line="360" w:lineRule="auto"/>
        <w:rPr>
          <w:rFonts w:hint="eastAsia"/>
        </w:rPr>
      </w:pPr>
      <w:r>
        <w:rPr>
          <w:rFonts w:hint="eastAsia"/>
        </w:rPr>
        <w:t>将第二生产线的损失分配至资产组各项设备。</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noWrap w:val="0"/>
            <w:vAlign w:val="top"/>
          </w:tcPr>
          <w:p>
            <w:pPr>
              <w:spacing w:line="360" w:lineRule="auto"/>
              <w:rPr>
                <w:rFonts w:hint="eastAsia"/>
              </w:rPr>
            </w:pPr>
            <w:r>
              <w:rPr>
                <w:rFonts w:hint="eastAsia"/>
              </w:rPr>
              <w:t>项目</w:t>
            </w:r>
          </w:p>
        </w:tc>
        <w:tc>
          <w:tcPr>
            <w:tcW w:w="2264" w:type="dxa"/>
            <w:noWrap w:val="0"/>
            <w:vAlign w:val="top"/>
          </w:tcPr>
          <w:p>
            <w:pPr>
              <w:spacing w:line="360" w:lineRule="auto"/>
            </w:pPr>
            <w:r>
              <w:rPr>
                <w:rFonts w:hint="eastAsia"/>
              </w:rPr>
              <w:t>A设备</w:t>
            </w:r>
          </w:p>
        </w:tc>
        <w:tc>
          <w:tcPr>
            <w:tcW w:w="2264" w:type="dxa"/>
            <w:noWrap w:val="0"/>
            <w:vAlign w:val="top"/>
          </w:tcPr>
          <w:p>
            <w:pPr>
              <w:spacing w:line="360" w:lineRule="auto"/>
            </w:pPr>
            <w:r>
              <w:rPr>
                <w:rFonts w:hint="eastAsia"/>
              </w:rPr>
              <w:t>B设备</w:t>
            </w:r>
          </w:p>
        </w:tc>
        <w:tc>
          <w:tcPr>
            <w:tcW w:w="2264" w:type="dxa"/>
            <w:noWrap w:val="0"/>
            <w:vAlign w:val="top"/>
          </w:tcPr>
          <w:p>
            <w:pPr>
              <w:spacing w:line="360" w:lineRule="auto"/>
            </w:pPr>
            <w:r>
              <w:rPr>
                <w:rFonts w:hint="eastAsia"/>
              </w:rPr>
              <w:t>第二生产线资产组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noWrap w:val="0"/>
            <w:vAlign w:val="top"/>
          </w:tcPr>
          <w:p>
            <w:pPr>
              <w:spacing w:line="360" w:lineRule="auto"/>
              <w:rPr>
                <w:rFonts w:hint="eastAsia"/>
              </w:rPr>
            </w:pPr>
            <w:r>
              <w:rPr>
                <w:rFonts w:hint="eastAsia"/>
              </w:rPr>
              <w:t>账面价值</w:t>
            </w:r>
          </w:p>
        </w:tc>
        <w:tc>
          <w:tcPr>
            <w:tcW w:w="2264" w:type="dxa"/>
            <w:noWrap w:val="0"/>
            <w:vAlign w:val="top"/>
          </w:tcPr>
          <w:p>
            <w:pPr>
              <w:spacing w:line="360" w:lineRule="auto"/>
            </w:pPr>
          </w:p>
        </w:tc>
        <w:tc>
          <w:tcPr>
            <w:tcW w:w="2264" w:type="dxa"/>
            <w:noWrap w:val="0"/>
            <w:vAlign w:val="top"/>
          </w:tcPr>
          <w:p>
            <w:pPr>
              <w:spacing w:line="360" w:lineRule="auto"/>
            </w:pPr>
          </w:p>
        </w:tc>
        <w:tc>
          <w:tcPr>
            <w:tcW w:w="2264"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noWrap w:val="0"/>
            <w:vAlign w:val="top"/>
          </w:tcPr>
          <w:p>
            <w:pPr>
              <w:spacing w:line="360" w:lineRule="auto"/>
              <w:rPr>
                <w:rFonts w:hint="eastAsia"/>
              </w:rPr>
            </w:pPr>
            <w:r>
              <w:rPr>
                <w:rFonts w:hint="eastAsia"/>
              </w:rPr>
              <w:t>减值损失</w:t>
            </w:r>
          </w:p>
        </w:tc>
        <w:tc>
          <w:tcPr>
            <w:tcW w:w="2264" w:type="dxa"/>
            <w:noWrap w:val="0"/>
            <w:vAlign w:val="top"/>
          </w:tcPr>
          <w:p>
            <w:pPr>
              <w:spacing w:line="360" w:lineRule="auto"/>
            </w:pPr>
          </w:p>
        </w:tc>
        <w:tc>
          <w:tcPr>
            <w:tcW w:w="2264" w:type="dxa"/>
            <w:noWrap w:val="0"/>
            <w:vAlign w:val="top"/>
          </w:tcPr>
          <w:p>
            <w:pPr>
              <w:spacing w:line="360" w:lineRule="auto"/>
              <w:rPr>
                <w:rFonts w:hint="eastAsia"/>
              </w:rPr>
            </w:pPr>
          </w:p>
        </w:tc>
        <w:tc>
          <w:tcPr>
            <w:tcW w:w="2264"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noWrap w:val="0"/>
            <w:vAlign w:val="top"/>
          </w:tcPr>
          <w:p>
            <w:pPr>
              <w:spacing w:line="360" w:lineRule="auto"/>
            </w:pPr>
            <w:r>
              <w:rPr>
                <w:rFonts w:hint="eastAsia"/>
              </w:rPr>
              <w:t>减值损失分配比例</w:t>
            </w:r>
          </w:p>
        </w:tc>
        <w:tc>
          <w:tcPr>
            <w:tcW w:w="2264" w:type="dxa"/>
            <w:noWrap w:val="0"/>
            <w:vAlign w:val="top"/>
          </w:tcPr>
          <w:p>
            <w:pPr>
              <w:spacing w:line="360" w:lineRule="auto"/>
            </w:pPr>
          </w:p>
        </w:tc>
        <w:tc>
          <w:tcPr>
            <w:tcW w:w="2264" w:type="dxa"/>
            <w:noWrap w:val="0"/>
            <w:vAlign w:val="top"/>
          </w:tcPr>
          <w:p>
            <w:pPr>
              <w:spacing w:line="360" w:lineRule="auto"/>
            </w:pPr>
          </w:p>
        </w:tc>
        <w:tc>
          <w:tcPr>
            <w:tcW w:w="2264"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noWrap w:val="0"/>
            <w:vAlign w:val="top"/>
          </w:tcPr>
          <w:p>
            <w:pPr>
              <w:spacing w:line="360" w:lineRule="auto"/>
            </w:pPr>
            <w:r>
              <w:rPr>
                <w:rFonts w:hint="eastAsia"/>
              </w:rPr>
              <w:t>分摊减值损失</w:t>
            </w:r>
          </w:p>
        </w:tc>
        <w:tc>
          <w:tcPr>
            <w:tcW w:w="2264" w:type="dxa"/>
            <w:noWrap w:val="0"/>
            <w:vAlign w:val="top"/>
          </w:tcPr>
          <w:p>
            <w:pPr>
              <w:spacing w:line="360" w:lineRule="auto"/>
            </w:pPr>
          </w:p>
        </w:tc>
        <w:tc>
          <w:tcPr>
            <w:tcW w:w="2264" w:type="dxa"/>
            <w:noWrap w:val="0"/>
            <w:vAlign w:val="top"/>
          </w:tcPr>
          <w:p>
            <w:pPr>
              <w:spacing w:line="360" w:lineRule="auto"/>
            </w:pPr>
          </w:p>
        </w:tc>
        <w:tc>
          <w:tcPr>
            <w:tcW w:w="2264" w:type="dxa"/>
            <w:noWrap w:val="0"/>
            <w:vAlign w:val="to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noWrap w:val="0"/>
            <w:vAlign w:val="top"/>
          </w:tcPr>
          <w:p>
            <w:pPr>
              <w:spacing w:line="360" w:lineRule="auto"/>
            </w:pPr>
            <w:r>
              <w:rPr>
                <w:rFonts w:hint="eastAsia"/>
              </w:rPr>
              <w:t>分摊后账面价值</w:t>
            </w:r>
          </w:p>
        </w:tc>
        <w:tc>
          <w:tcPr>
            <w:tcW w:w="2264" w:type="dxa"/>
            <w:noWrap w:val="0"/>
            <w:vAlign w:val="top"/>
          </w:tcPr>
          <w:p>
            <w:pPr>
              <w:spacing w:line="360" w:lineRule="auto"/>
            </w:pPr>
          </w:p>
        </w:tc>
        <w:tc>
          <w:tcPr>
            <w:tcW w:w="2264" w:type="dxa"/>
            <w:noWrap w:val="0"/>
            <w:vAlign w:val="top"/>
          </w:tcPr>
          <w:p>
            <w:pPr>
              <w:spacing w:line="360" w:lineRule="auto"/>
            </w:pPr>
          </w:p>
        </w:tc>
        <w:tc>
          <w:tcPr>
            <w:tcW w:w="2264" w:type="dxa"/>
            <w:noWrap w:val="0"/>
            <w:vAlign w:val="top"/>
          </w:tcPr>
          <w:p>
            <w:pPr>
              <w:spacing w:line="360" w:lineRule="auto"/>
            </w:pPr>
          </w:p>
        </w:tc>
      </w:tr>
    </w:tbl>
    <w:p>
      <w:pPr>
        <w:numPr>
          <w:ilvl w:val="0"/>
          <w:numId w:val="1"/>
        </w:numPr>
        <w:spacing w:line="360" w:lineRule="auto"/>
        <w:rPr>
          <w:rFonts w:hint="eastAsia"/>
        </w:rPr>
      </w:pPr>
      <w:r>
        <w:rPr>
          <w:rFonts w:hint="eastAsia"/>
        </w:rPr>
        <w:t>编写计提资产减值损失的会计分录。</w:t>
      </w:r>
    </w:p>
    <w:p>
      <w:pPr>
        <w:spacing w:line="360" w:lineRule="auto"/>
        <w:rPr>
          <w:rFonts w:hint="eastAsia" w:ascii="FZKTK--GBK1-0" w:hAnsi="FZKTK--GBK1-0" w:eastAsia="FZKTK--GBK1-0"/>
        </w:rPr>
      </w:pPr>
    </w:p>
    <w:p>
      <w:pPr>
        <w:spacing w:line="360" w:lineRule="auto"/>
        <w:rPr>
          <w:rFonts w:hint="eastAsia" w:ascii="FZKTK--GBK1-0" w:hAnsi="FZKTK--GBK1-0" w:eastAsia="FZKTK--GBK1-0"/>
        </w:rPr>
      </w:pPr>
    </w:p>
    <w:p>
      <w:pPr>
        <w:spacing w:line="360" w:lineRule="auto"/>
        <w:rPr>
          <w:rFonts w:hint="eastAsia" w:ascii="FZKTK--GBK1-0" w:hAnsi="FZKTK--GBK1-0" w:eastAsia="FZKTK--GBK1-0"/>
        </w:rPr>
      </w:pPr>
    </w:p>
    <w:p>
      <w:pPr>
        <w:spacing w:line="360" w:lineRule="auto"/>
        <w:rPr>
          <w:rFonts w:hint="eastAsia" w:ascii="FZKTK--GBK1-0" w:hAnsi="FZKTK--GBK1-0" w:eastAsia="FZKTK--GBK1-0"/>
        </w:rPr>
      </w:pPr>
    </w:p>
    <w:p>
      <w:pPr>
        <w:spacing w:line="360" w:lineRule="auto"/>
        <w:rPr>
          <w:rFonts w:hint="eastAsia" w:ascii="FZKTK--GBK1-0" w:hAnsi="FZKTK--GBK1-0" w:eastAsia="FZKTK--GBK1-0"/>
        </w:rPr>
      </w:pPr>
    </w:p>
    <w:p>
      <w:pPr>
        <w:spacing w:line="360" w:lineRule="auto"/>
        <w:rPr>
          <w:rFonts w:hint="eastAsia" w:ascii="FZKTK--GBK1-0" w:hAnsi="FZKTK--GBK1-0" w:eastAsia="FZKTK--GBK1-0"/>
        </w:rPr>
      </w:pPr>
    </w:p>
    <w:p>
      <w:pPr>
        <w:spacing w:line="360" w:lineRule="auto"/>
        <w:rPr>
          <w:rFonts w:hint="eastAsia" w:ascii="FZKTK--GBK1-0" w:hAnsi="FZKTK--GBK1-0" w:eastAsia="FZKTK--GBK1-0"/>
        </w:rPr>
      </w:pPr>
      <w:r>
        <w:rPr>
          <w:rFonts w:hint="eastAsia" w:ascii="FZKTK--GBK1-0" w:hAnsi="FZKTK--GBK1-0" w:eastAsia="FZKTK--GBK1-0"/>
        </w:rPr>
        <w:t>2、甲股份有限公司（以下简称“甲公司”）于2×22年开始对高管人员进行股权激励。具体情况如下：</w:t>
      </w:r>
    </w:p>
    <w:p>
      <w:pPr>
        <w:jc w:val="left"/>
        <w:rPr>
          <w:rFonts w:hint="eastAsia" w:ascii="FZKTK--GBK1-0" w:hAnsi="FZKTK--GBK1-0" w:eastAsia="FZKTK--GBK1-0"/>
        </w:rPr>
      </w:pPr>
      <w:r>
        <w:rPr>
          <w:rFonts w:hint="eastAsia" w:ascii="FZKTK--GBK1-0" w:hAnsi="FZKTK--GBK1-0" w:eastAsia="FZKTK--GBK1-0"/>
        </w:rPr>
        <w:t>（1）2×22年1月2日，甲公司与50名高管人员签订股权激励协议并经股东大会批准。协议约定：甲公司向每名高管授予1 2 0 0 0 0 份股票期权，每份期权于到期日可以8元/股的价格购买甲公司1股普通股。该股票期权自股权激励协议签订之日起3年内分三期平均行权，即该股份支付协议包括等待期分别为1年、2年和3年的三项股份支付安排：2×22年年末甲公司实现的净利润较上一年度增长8%（含8%）以上，在职的高管人员持有的股票期权中每人可行权40 000份；2×23年年末，如果甲公司2×22年、2×23年连续两年实现的净利润增长率达到8%（含8%）以上，在职的高管人员持有的股票期权中每人可行权40 000份；2×24年年末，如果甲公司连续三年实现的净利润增长率达到8%（含8%）以上，则高管人员持有的剩余股票期权可以行权。当日甲公司估计授予高管人员的股票期权公允价值为5元/份。</w:t>
      </w:r>
    </w:p>
    <w:p>
      <w:pPr>
        <w:jc w:val="left"/>
        <w:rPr>
          <w:rFonts w:hint="eastAsia" w:ascii="FZKTK--GBK1-0" w:hAnsi="FZKTK--GBK1-0" w:eastAsia="FZKTK--GBK1-0"/>
        </w:rPr>
      </w:pPr>
      <w:r>
        <w:rPr>
          <w:rFonts w:hint="eastAsia" w:ascii="FZKTK--GBK1-0" w:hAnsi="FZKTK--GBK1-0" w:eastAsia="FZKTK--GBK1-0"/>
        </w:rPr>
        <w:t>（2）2×22年，甲公司实现净利润12 000万元，较2×21年增长9%，预计股份支付剩余等待期内净利润仍能够以同等速度增长。2×22年甲公司普通股平均市场价格为12元/股。2×22年12月31日，甲公司的授予股票期权的公允价值为4.5元/份。2×22年，与甲公司签订了股权激励协议的高管人员没有离职，预计后续期间也不会离职。</w:t>
      </w:r>
    </w:p>
    <w:p>
      <w:pPr>
        <w:jc w:val="left"/>
        <w:rPr>
          <w:rFonts w:hint="eastAsia" w:ascii="FZKTK--GBK1-0" w:hAnsi="FZKTK--GBK1-0" w:eastAsia="FZKTK--GBK1-0"/>
        </w:rPr>
      </w:pPr>
      <w:r>
        <w:rPr>
          <w:rFonts w:hint="eastAsia" w:ascii="FZKTK--GBK1-0" w:hAnsi="FZKTK--GBK1-0" w:eastAsia="FZKTK--GBK1-0"/>
        </w:rPr>
        <w:t>（3）2×23年，甲公司50名高管人员将至2×22年年末到期可行权的股票期权全部行权。2×23年，甲公司实现净利润13 200万元，较2×22年增长10%。2×23年没有高管人员离职，预计后续期间也不会离职。2×23年12月31日，甲公司所授予股票期权的公允价值为3.5元/份。</w:t>
      </w:r>
    </w:p>
    <w:p>
      <w:pPr>
        <w:jc w:val="left"/>
        <w:rPr>
          <w:rFonts w:hint="eastAsia" w:ascii="FZKTK--GBK1-0" w:hAnsi="FZKTK--GBK1-0" w:eastAsia="FZKTK--GBK1-0"/>
        </w:rPr>
      </w:pPr>
      <w:r>
        <w:rPr>
          <w:rFonts w:hint="eastAsia" w:ascii="FZKTK--GBK1-0" w:hAnsi="FZKTK--GBK1-0" w:eastAsia="FZKTK--GBK1-0"/>
        </w:rPr>
        <w:t>其他有关资料：不考虑相关税费及其他因素。</w:t>
      </w:r>
    </w:p>
    <w:p>
      <w:pPr>
        <w:jc w:val="left"/>
        <w:rPr>
          <w:rFonts w:hint="eastAsia" w:ascii="FZKTK--GBK1-0" w:hAnsi="FZKTK--GBK1-0" w:eastAsia="FZKTK--GBK1-0"/>
        </w:rPr>
      </w:pPr>
      <w:r>
        <w:rPr>
          <w:rFonts w:hint="eastAsia" w:ascii="FZKTK--GBK1-0" w:hAnsi="FZKTK--GBK1-0" w:eastAsia="FZKTK--GBK1-0"/>
        </w:rPr>
        <w:t>要求：</w:t>
      </w:r>
    </w:p>
    <w:p>
      <w:pPr>
        <w:jc w:val="left"/>
        <w:rPr>
          <w:rFonts w:ascii="FZKTK--GBK1-0" w:hAnsi="FZKTK--GBK1-0" w:eastAsia="FZKTK--GBK1-0"/>
        </w:rPr>
      </w:pPr>
      <w:r>
        <w:rPr>
          <w:rFonts w:hint="eastAsia" w:ascii="FZKTK--GBK1-0" w:hAnsi="FZKTK--GBK1-0" w:eastAsia="FZKTK--GBK1-0"/>
        </w:rPr>
        <w:t>（1）确定甲公司该项股份支付的授予日，并说明理由。计算甲公司2×22年、2×23年就该股份支付应确认的费用金额，并编制相关会计分录。</w:t>
      </w:r>
    </w:p>
    <w:p>
      <w:pPr>
        <w:jc w:val="left"/>
        <w:rPr>
          <w:rFonts w:hint="eastAsia" w:ascii="FZKTK--GBK1-0" w:hAnsi="FZKTK--GBK1-0" w:eastAsia="FZKTK--GBK1-0"/>
        </w:rPr>
      </w:pPr>
      <w:r>
        <w:rPr>
          <w:rFonts w:hint="eastAsia" w:ascii="FZKTK--GBK1-0" w:hAnsi="FZKTK--GBK1-0" w:eastAsia="FZKTK--GBK1-0"/>
        </w:rPr>
        <w:t>（2）编制甲公司高管人员2×23年就该股份支付行权的会计分录（答案中的金额单位用万元表示）</w:t>
      </w:r>
    </w:p>
    <w:p>
      <w:pPr>
        <w:jc w:val="left"/>
        <w:rPr>
          <w:rFonts w:hint="eastAsia" w:ascii="FZKTK--GBK1-0" w:hAnsi="FZKTK--GBK1-0" w:eastAsia="FZKTK--GBK1-0"/>
        </w:rPr>
      </w:pPr>
    </w:p>
    <w:p>
      <w:pPr>
        <w:jc w:val="left"/>
        <w:rPr>
          <w:rFonts w:hint="eastAsia" w:ascii="FZKTK--GBK1-0" w:hAnsi="FZKTK--GBK1-0" w:eastAsia="FZKTK--GBK1-0"/>
        </w:rPr>
      </w:pPr>
    </w:p>
    <w:p>
      <w:pPr>
        <w:jc w:val="left"/>
        <w:rPr>
          <w:rFonts w:hint="eastAsia" w:ascii="FZKTK--GBK1-0" w:hAnsi="FZKTK--GBK1-0" w:eastAsia="FZKTK--GBK1-0"/>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eastAsia" w:ascii="宋体" w:hAnsi="宋体" w:cs="宋体"/>
        </w:rPr>
      </w:pPr>
    </w:p>
    <w:p>
      <w:pPr>
        <w:numPr>
          <w:ilvl w:val="0"/>
          <w:numId w:val="0"/>
        </w:numPr>
        <w:spacing w:line="360" w:lineRule="auto"/>
        <w:jc w:val="left"/>
        <w:rPr>
          <w:rFonts w:hint="default" w:ascii="宋体" w:hAnsi="宋体" w:eastAsia="宋体" w:cs="宋体"/>
          <w:b/>
          <w:bCs/>
          <w:sz w:val="40"/>
          <w:szCs w:val="48"/>
          <w:lang w:val="en-US" w:eastAsia="zh-CN"/>
        </w:rPr>
      </w:pPr>
      <w:r>
        <w:rPr>
          <w:rFonts w:hint="eastAsia" w:ascii="宋体" w:hAnsi="宋体" w:cs="宋体"/>
          <w:b/>
          <w:bCs/>
          <w:sz w:val="40"/>
          <w:szCs w:val="48"/>
          <w:lang w:val="en-US" w:eastAsia="zh-CN"/>
        </w:rPr>
        <w:t>复习资料参考答案</w:t>
      </w:r>
    </w:p>
    <w:p>
      <w:pPr>
        <w:numPr>
          <w:ilvl w:val="0"/>
          <w:numId w:val="0"/>
        </w:numPr>
        <w:spacing w:line="360" w:lineRule="auto"/>
        <w:jc w:val="left"/>
        <w:rPr>
          <w:rFonts w:hint="eastAsia" w:ascii="宋体" w:hAnsi="宋体" w:cs="宋体"/>
        </w:rPr>
      </w:pPr>
      <w:r>
        <w:rPr>
          <w:rFonts w:hint="eastAsia" w:ascii="宋体" w:hAnsi="宋体" w:cs="宋体"/>
          <w:lang w:val="en-US" w:eastAsia="zh-CN"/>
        </w:rPr>
        <w:t>一</w:t>
      </w:r>
      <w:r>
        <w:rPr>
          <w:rFonts w:hint="eastAsia" w:ascii="宋体" w:hAnsi="宋体" w:cs="宋体"/>
        </w:rPr>
        <w:t>单项选择题</w:t>
      </w:r>
    </w:p>
    <w:p>
      <w:pPr>
        <w:spacing w:line="360" w:lineRule="auto"/>
        <w:rPr>
          <w:rFonts w:hint="eastAsia"/>
        </w:rPr>
      </w:pPr>
      <w:r>
        <w:rPr>
          <w:rFonts w:hint="eastAsia"/>
          <w:lang w:val="en-US" w:eastAsia="zh-CN"/>
        </w:rPr>
        <w:t xml:space="preserve">1-5 </w:t>
      </w:r>
      <w:r>
        <w:rPr>
          <w:rFonts w:hint="eastAsia"/>
        </w:rPr>
        <w:t>AACBD</w:t>
      </w:r>
      <w:r>
        <w:rPr>
          <w:rFonts w:hint="eastAsia"/>
          <w:lang w:val="en-US" w:eastAsia="zh-CN"/>
        </w:rPr>
        <w:t xml:space="preserve">  </w:t>
      </w:r>
    </w:p>
    <w:p>
      <w:pPr>
        <w:spacing w:line="360" w:lineRule="auto"/>
        <w:rPr>
          <w:rFonts w:hint="eastAsia" w:ascii="宋体" w:hAnsi="宋体" w:cs="宋体"/>
        </w:rPr>
      </w:pPr>
      <w:r>
        <w:rPr>
          <w:rFonts w:hint="eastAsia" w:ascii="宋体" w:hAnsi="宋体" w:cs="宋体"/>
        </w:rPr>
        <w:t>二、多项选择题</w:t>
      </w:r>
    </w:p>
    <w:p>
      <w:pPr>
        <w:spacing w:line="360" w:lineRule="auto"/>
        <w:rPr>
          <w:rFonts w:hint="eastAsia"/>
        </w:rPr>
      </w:pPr>
      <w:r>
        <w:rPr>
          <w:rFonts w:hint="eastAsia"/>
          <w:lang w:val="en-US" w:eastAsia="zh-CN"/>
        </w:rPr>
        <w:t xml:space="preserve">1-5 </w:t>
      </w:r>
      <w:r>
        <w:rPr>
          <w:rFonts w:hint="eastAsia"/>
        </w:rPr>
        <w:t>BCD BC AD BCD ABCD</w:t>
      </w:r>
      <w:r>
        <w:rPr>
          <w:rFonts w:hint="eastAsia"/>
          <w:lang w:val="en-US" w:eastAsia="zh-CN"/>
        </w:rPr>
        <w:t xml:space="preserve">  6-8 </w:t>
      </w:r>
      <w:r>
        <w:rPr>
          <w:rFonts w:hint="eastAsia"/>
        </w:rPr>
        <w:t xml:space="preserve"> CD ACDE  BC  </w:t>
      </w:r>
    </w:p>
    <w:p>
      <w:pPr>
        <w:rPr>
          <w:rFonts w:hint="eastAsia"/>
        </w:rPr>
      </w:pPr>
      <w:r>
        <w:t>三</w:t>
      </w:r>
      <w:r>
        <w:rPr>
          <w:rFonts w:hint="eastAsia"/>
        </w:rPr>
        <w:t>、</w:t>
      </w:r>
      <w:r>
        <w:t>简单题</w:t>
      </w:r>
    </w:p>
    <w:p>
      <w:pPr>
        <w:spacing w:line="360" w:lineRule="auto"/>
        <w:rPr>
          <w:rFonts w:ascii="宋体" w:hAnsi="宋体" w:cs="宋体"/>
        </w:rPr>
      </w:pPr>
      <w:r>
        <w:rPr>
          <w:rFonts w:ascii="宋体" w:hAnsi="宋体" w:cs="宋体"/>
        </w:rPr>
        <w:t>作用不同：融资租赁行为能使企业</w:t>
      </w:r>
      <w:bookmarkStart w:id="0" w:name="_GoBack"/>
      <w:bookmarkEnd w:id="0"/>
      <w:r>
        <w:rPr>
          <w:rFonts w:ascii="宋体" w:hAnsi="宋体" w:cs="宋体"/>
        </w:rPr>
        <w:t>缩短项目的建设期限，有效规避市场风险，同时，避免企业因资金不足而放过稍纵即逝市场机会。经营租赁行为能使企业有选择地租赁企业急用但并不想拥用的资产。</w:t>
      </w:r>
    </w:p>
    <w:p>
      <w:pPr>
        <w:spacing w:line="360" w:lineRule="auto"/>
        <w:rPr>
          <w:rFonts w:ascii="宋体" w:hAnsi="宋体" w:cs="宋体"/>
        </w:rPr>
      </w:pPr>
      <w:r>
        <w:rPr>
          <w:rFonts w:ascii="宋体" w:hAnsi="宋体" w:cs="宋体"/>
        </w:rPr>
        <w:t>风险转移不同</w:t>
      </w:r>
      <w:r>
        <w:rPr>
          <w:rFonts w:hint="eastAsia" w:ascii="宋体" w:hAnsi="宋体" w:cs="宋体"/>
        </w:rPr>
        <w:t>：</w:t>
      </w:r>
      <w:r>
        <w:rPr>
          <w:rFonts w:ascii="宋体" w:hAnsi="宋体" w:cs="宋体"/>
        </w:rPr>
        <w:t>融资租赁其实质就是转移了与资产所有权有关的全部风险和报酬。而对经营租赁则不同，仅仅转移了该项资产的使用权，而对该项资产所有权有关的风险和报酬却没有转移。 </w:t>
      </w:r>
    </w:p>
    <w:p>
      <w:pPr>
        <w:spacing w:line="360" w:lineRule="auto"/>
        <w:rPr>
          <w:rFonts w:ascii="宋体" w:hAnsi="宋体" w:cs="宋体"/>
        </w:rPr>
      </w:pPr>
      <w:r>
        <w:rPr>
          <w:rFonts w:ascii="宋体" w:hAnsi="宋体" w:cs="宋体"/>
        </w:rPr>
        <w:t>租赁程序不同</w:t>
      </w:r>
      <w:r>
        <w:rPr>
          <w:rFonts w:hint="eastAsia" w:ascii="宋体" w:hAnsi="宋体" w:cs="宋体"/>
        </w:rPr>
        <w:t>：</w:t>
      </w:r>
      <w:r>
        <w:rPr>
          <w:rFonts w:ascii="宋体" w:hAnsi="宋体" w:cs="宋体"/>
        </w:rPr>
        <w:t>经营租赁出租的设备由租赁公司根据市场需要选定，然后再寻找承租企业，而融资租赁出租的设备由承租企业提出要求购买或由承租企业直接从制造商或销售商那里选定。 </w:t>
      </w:r>
    </w:p>
    <w:p>
      <w:pPr>
        <w:spacing w:line="360" w:lineRule="auto"/>
        <w:rPr>
          <w:rFonts w:ascii="宋体" w:hAnsi="宋体" w:cs="宋体"/>
        </w:rPr>
      </w:pPr>
      <w:r>
        <w:rPr>
          <w:rFonts w:ascii="宋体" w:hAnsi="宋体" w:cs="宋体"/>
        </w:rPr>
        <w:t>租赁期限不同</w:t>
      </w:r>
      <w:r>
        <w:rPr>
          <w:rFonts w:hint="eastAsia" w:ascii="宋体" w:hAnsi="宋体" w:cs="宋体"/>
        </w:rPr>
        <w:t>：</w:t>
      </w:r>
      <w:r>
        <w:rPr>
          <w:rFonts w:ascii="宋体" w:hAnsi="宋体" w:cs="宋体"/>
        </w:rPr>
        <w:t>经营租赁期较短，短于资产有效使用期，而融资租赁的租赁期较长，接近于资产的有效使用期。 </w:t>
      </w:r>
    </w:p>
    <w:p>
      <w:pPr>
        <w:spacing w:line="360" w:lineRule="auto"/>
        <w:rPr>
          <w:rFonts w:ascii="宋体" w:hAnsi="宋体" w:cs="宋体"/>
        </w:rPr>
      </w:pPr>
      <w:r>
        <w:rPr>
          <w:rFonts w:ascii="宋体" w:hAnsi="宋体" w:cs="宋体"/>
        </w:rPr>
        <w:t>设备维修、保养的责任方不同</w:t>
      </w:r>
      <w:r>
        <w:rPr>
          <w:rFonts w:hint="eastAsia" w:ascii="宋体" w:hAnsi="宋体" w:cs="宋体"/>
        </w:rPr>
        <w:t>:</w:t>
      </w:r>
      <w:r>
        <w:rPr>
          <w:rFonts w:ascii="宋体" w:hAnsi="宋体" w:cs="宋体"/>
        </w:rPr>
        <w:t>经营租赁由租赁公司负责，而融资租赁由承租方负责。</w:t>
      </w:r>
    </w:p>
    <w:p>
      <w:pPr>
        <w:spacing w:line="360" w:lineRule="auto"/>
        <w:rPr>
          <w:rFonts w:ascii="宋体" w:hAnsi="宋体" w:cs="宋体"/>
        </w:rPr>
      </w:pPr>
      <w:r>
        <w:rPr>
          <w:rFonts w:ascii="宋体" w:hAnsi="宋体" w:cs="宋体"/>
        </w:rPr>
        <w:t>租赁期满后设备处置方法不同</w:t>
      </w:r>
      <w:r>
        <w:rPr>
          <w:rFonts w:hint="eastAsia" w:ascii="宋体" w:hAnsi="宋体" w:cs="宋体"/>
        </w:rPr>
        <w:t>;</w:t>
      </w:r>
      <w:r>
        <w:rPr>
          <w:rFonts w:ascii="宋体" w:hAnsi="宋体" w:cs="宋体"/>
        </w:rPr>
        <w:t>经营租赁期满后，承租资产由租赁公司收回，而融资租赁期满后，企业可以很少的“名义货价”(相当于设备残值的市场售价)留购。 </w:t>
      </w:r>
    </w:p>
    <w:p>
      <w:pPr>
        <w:spacing w:line="360" w:lineRule="auto"/>
        <w:rPr>
          <w:rFonts w:ascii="宋体" w:hAnsi="宋体" w:cs="宋体"/>
        </w:rPr>
      </w:pPr>
      <w:r>
        <w:rPr>
          <w:rFonts w:ascii="宋体" w:hAnsi="宋体" w:cs="宋体"/>
        </w:rPr>
        <w:t>租赁的实质不同</w:t>
      </w:r>
      <w:r>
        <w:rPr>
          <w:rFonts w:hint="eastAsia" w:ascii="宋体" w:hAnsi="宋体" w:cs="宋体"/>
        </w:rPr>
        <w:t>:</w:t>
      </w:r>
      <w:r>
        <w:rPr>
          <w:rFonts w:ascii="宋体" w:hAnsi="宋体" w:cs="宋体"/>
        </w:rPr>
        <w:t>经营租赁实质上并没有转移与资产所有权有关的全部风险和报酬，而融资租赁的实质是将与资产所有权有关的全部风险和报酬转移给了承租人。 </w:t>
      </w:r>
    </w:p>
    <w:p>
      <w:pPr>
        <w:spacing w:line="360" w:lineRule="auto"/>
        <w:rPr>
          <w:rFonts w:ascii="宋体" w:hAnsi="宋体" w:cs="宋体"/>
        </w:rPr>
      </w:pPr>
      <w:r>
        <w:rPr>
          <w:rFonts w:ascii="宋体" w:hAnsi="宋体" w:cs="宋体"/>
        </w:rPr>
        <w:t>租赁物的选择方式不同</w:t>
      </w:r>
      <w:r>
        <w:rPr>
          <w:rFonts w:hint="eastAsia" w:ascii="宋体" w:hAnsi="宋体" w:cs="宋体"/>
        </w:rPr>
        <w:t>:</w:t>
      </w:r>
      <w:r>
        <w:rPr>
          <w:rFonts w:ascii="宋体" w:hAnsi="宋体" w:cs="宋体"/>
        </w:rPr>
        <w:t>经营租赁的出租方，以市场的需求选定租赁物，然后再寻找承租方，我们可以把它称之为“先买后租”；融资租赁的出租方大多数是根据承租方的需要或要求选定租赁物，购买租赁资产来供承租方使用，我们可以把它称之为“按需出租”。</w:t>
      </w:r>
    </w:p>
    <w:p>
      <w:pPr>
        <w:spacing w:line="360" w:lineRule="auto"/>
        <w:rPr>
          <w:rFonts w:ascii="宋体" w:hAnsi="宋体" w:cs="宋体"/>
        </w:rPr>
      </w:pPr>
      <w:r>
        <w:rPr>
          <w:rFonts w:ascii="宋体" w:hAnsi="宋体" w:cs="宋体"/>
        </w:rPr>
        <w:t>租赁的目的不同</w:t>
      </w:r>
      <w:r>
        <w:rPr>
          <w:rFonts w:hint="eastAsia" w:ascii="宋体" w:hAnsi="宋体" w:cs="宋体"/>
        </w:rPr>
        <w:t>:</w:t>
      </w:r>
      <w:r>
        <w:rPr>
          <w:rFonts w:ascii="宋体" w:hAnsi="宋体" w:cs="宋体"/>
        </w:rPr>
        <w:t>经营租赁的目的主要是为了满足经营上短期的、临时的或季节性的需要，它并没有要添置资产的意图;融资租赁则是为了打算长期使用，是以融资为目的的资产购买，是有添置资产的意愿的。 </w:t>
      </w:r>
    </w:p>
    <w:p>
      <w:pPr>
        <w:spacing w:line="360" w:lineRule="auto"/>
        <w:rPr>
          <w:rFonts w:ascii="宋体" w:hAnsi="宋体" w:cs="宋体"/>
        </w:rPr>
      </w:pPr>
      <w:r>
        <w:rPr>
          <w:rFonts w:ascii="宋体" w:hAnsi="宋体" w:cs="宋体"/>
        </w:rPr>
        <w:t>租赁合同的签订方法不同</w:t>
      </w:r>
      <w:r>
        <w:rPr>
          <w:rFonts w:hint="eastAsia" w:ascii="宋体" w:hAnsi="宋体" w:cs="宋体"/>
        </w:rPr>
        <w:t>:</w:t>
      </w:r>
      <w:r>
        <w:rPr>
          <w:rFonts w:ascii="宋体" w:hAnsi="宋体" w:cs="宋体"/>
        </w:rPr>
        <w:t>经营租赁的租赁双方在租期内可中止合同，退还设备；融资租赁的合同一经签订，在租期内任何一方均无权单方面撤销合同。融资租赁中只有租赁物毁坏或被证明为已丧失使用价值的情况下方能中止执行合同，无故毁约需要支付相当重的罚金。</w:t>
      </w:r>
    </w:p>
    <w:p>
      <w:pPr>
        <w:numPr>
          <w:ilvl w:val="0"/>
          <w:numId w:val="2"/>
        </w:numPr>
        <w:jc w:val="left"/>
        <w:rPr>
          <w:rFonts w:hint="eastAsia" w:ascii="FZKTK--GBK1-0" w:hAnsi="FZKTK--GBK1-0" w:eastAsia="FZKTK--GBK1-0"/>
        </w:rPr>
      </w:pPr>
      <w:r>
        <w:rPr>
          <w:rFonts w:hint="eastAsia" w:ascii="FZKTK--GBK1-0" w:hAnsi="FZKTK--GBK1-0" w:eastAsia="FZKTK--GBK1-0"/>
        </w:rPr>
        <w:t>业务处理题</w:t>
      </w:r>
    </w:p>
    <w:p>
      <w:pPr>
        <w:jc w:val="left"/>
        <w:rPr>
          <w:rFonts w:hint="eastAsia"/>
        </w:rPr>
      </w:pPr>
      <w:r>
        <w:rPr>
          <w:rFonts w:hint="eastAsia"/>
        </w:rPr>
        <w:t>1、（1）将总部资产分配至各资产组。</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2"/>
        <w:gridCol w:w="1290"/>
        <w:gridCol w:w="1317"/>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shd w:val="clear" w:color="auto" w:fill="auto"/>
            <w:noWrap w:val="0"/>
            <w:vAlign w:val="top"/>
          </w:tcPr>
          <w:p>
            <w:pPr>
              <w:spacing w:line="360" w:lineRule="auto"/>
            </w:pPr>
            <w:r>
              <w:rPr>
                <w:rFonts w:hint="eastAsia"/>
              </w:rPr>
              <w:t>项目</w:t>
            </w:r>
          </w:p>
        </w:tc>
        <w:tc>
          <w:tcPr>
            <w:tcW w:w="1324" w:type="dxa"/>
            <w:shd w:val="clear" w:color="auto" w:fill="auto"/>
            <w:noWrap w:val="0"/>
            <w:vAlign w:val="top"/>
          </w:tcPr>
          <w:p>
            <w:pPr>
              <w:spacing w:line="360" w:lineRule="auto"/>
            </w:pPr>
            <w:r>
              <w:rPr>
                <w:rFonts w:hint="eastAsia"/>
              </w:rPr>
              <w:t>第一生产线</w:t>
            </w:r>
          </w:p>
        </w:tc>
        <w:tc>
          <w:tcPr>
            <w:tcW w:w="1353" w:type="dxa"/>
            <w:shd w:val="clear" w:color="auto" w:fill="auto"/>
            <w:noWrap w:val="0"/>
            <w:vAlign w:val="top"/>
          </w:tcPr>
          <w:p>
            <w:pPr>
              <w:spacing w:line="360" w:lineRule="auto"/>
            </w:pPr>
            <w:r>
              <w:rPr>
                <w:rFonts w:hint="eastAsia"/>
              </w:rPr>
              <w:t>第二生产线</w:t>
            </w:r>
          </w:p>
        </w:tc>
        <w:tc>
          <w:tcPr>
            <w:tcW w:w="766" w:type="dxa"/>
            <w:shd w:val="clear" w:color="auto" w:fill="auto"/>
            <w:noWrap w:val="0"/>
            <w:vAlign w:val="top"/>
          </w:tcPr>
          <w:p>
            <w:pPr>
              <w:spacing w:line="360" w:lineRule="auto"/>
            </w:pPr>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shd w:val="clear" w:color="auto" w:fill="auto"/>
            <w:noWrap w:val="0"/>
            <w:vAlign w:val="top"/>
          </w:tcPr>
          <w:p>
            <w:pPr>
              <w:spacing w:line="360" w:lineRule="auto"/>
            </w:pPr>
            <w:r>
              <w:rPr>
                <w:rFonts w:hint="eastAsia"/>
              </w:rPr>
              <w:t>各资产组账面价值</w:t>
            </w:r>
          </w:p>
        </w:tc>
        <w:tc>
          <w:tcPr>
            <w:tcW w:w="1324" w:type="dxa"/>
            <w:shd w:val="clear" w:color="auto" w:fill="auto"/>
            <w:noWrap w:val="0"/>
            <w:vAlign w:val="top"/>
          </w:tcPr>
          <w:p>
            <w:pPr>
              <w:spacing w:line="360" w:lineRule="auto"/>
            </w:pPr>
            <w:r>
              <w:rPr>
                <w:rFonts w:hint="eastAsia"/>
              </w:rPr>
              <w:t>560</w:t>
            </w:r>
          </w:p>
        </w:tc>
        <w:tc>
          <w:tcPr>
            <w:tcW w:w="1353" w:type="dxa"/>
            <w:shd w:val="clear" w:color="auto" w:fill="auto"/>
            <w:noWrap w:val="0"/>
            <w:vAlign w:val="top"/>
          </w:tcPr>
          <w:p>
            <w:pPr>
              <w:spacing w:line="360" w:lineRule="auto"/>
            </w:pPr>
            <w:r>
              <w:rPr>
                <w:rFonts w:hint="eastAsia"/>
              </w:rPr>
              <w:t>420</w:t>
            </w:r>
          </w:p>
        </w:tc>
        <w:tc>
          <w:tcPr>
            <w:tcW w:w="766" w:type="dxa"/>
            <w:shd w:val="clear" w:color="auto" w:fill="auto"/>
            <w:noWrap w:val="0"/>
            <w:vAlign w:val="top"/>
          </w:tcPr>
          <w:p>
            <w:pPr>
              <w:spacing w:line="360" w:lineRule="auto"/>
            </w:pPr>
            <w:r>
              <w:rPr>
                <w:rFonts w:hint="eastAsia"/>
              </w:rPr>
              <w:t>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5388" w:type="dxa"/>
            <w:shd w:val="clear" w:color="auto" w:fill="auto"/>
            <w:noWrap w:val="0"/>
            <w:vAlign w:val="top"/>
          </w:tcPr>
          <w:p>
            <w:pPr>
              <w:spacing w:line="360" w:lineRule="auto"/>
            </w:pPr>
            <w:r>
              <w:rPr>
                <w:rFonts w:hint="eastAsia"/>
              </w:rPr>
              <w:t>各资产组剩余使用寿命</w:t>
            </w:r>
          </w:p>
        </w:tc>
        <w:tc>
          <w:tcPr>
            <w:tcW w:w="1324" w:type="dxa"/>
            <w:shd w:val="clear" w:color="auto" w:fill="auto"/>
            <w:noWrap w:val="0"/>
            <w:vAlign w:val="top"/>
          </w:tcPr>
          <w:p>
            <w:pPr>
              <w:spacing w:line="360" w:lineRule="auto"/>
            </w:pPr>
            <w:r>
              <w:rPr>
                <w:rFonts w:hint="eastAsia"/>
              </w:rPr>
              <w:t>5</w:t>
            </w:r>
          </w:p>
        </w:tc>
        <w:tc>
          <w:tcPr>
            <w:tcW w:w="1353" w:type="dxa"/>
            <w:shd w:val="clear" w:color="auto" w:fill="auto"/>
            <w:noWrap w:val="0"/>
            <w:vAlign w:val="top"/>
          </w:tcPr>
          <w:p>
            <w:pPr>
              <w:spacing w:line="360" w:lineRule="auto"/>
            </w:pPr>
            <w:r>
              <w:rPr>
                <w:rFonts w:hint="eastAsia"/>
              </w:rPr>
              <w:t>10</w:t>
            </w:r>
          </w:p>
        </w:tc>
        <w:tc>
          <w:tcPr>
            <w:tcW w:w="766" w:type="dxa"/>
            <w:shd w:val="clear" w:color="auto" w:fill="auto"/>
            <w:noWrap w:val="0"/>
            <w:vAlign w:val="top"/>
          </w:tcPr>
          <w:p>
            <w:pPr>
              <w:spacing w:line="360" w:lineRule="auto"/>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388" w:type="dxa"/>
            <w:shd w:val="clear" w:color="auto" w:fill="auto"/>
            <w:noWrap w:val="0"/>
            <w:vAlign w:val="top"/>
          </w:tcPr>
          <w:p>
            <w:pPr>
              <w:spacing w:line="360" w:lineRule="auto"/>
            </w:pPr>
            <w:r>
              <w:rPr>
                <w:rFonts w:hint="eastAsia"/>
              </w:rPr>
              <w:t>按使用寿命计算的权重</w:t>
            </w:r>
          </w:p>
        </w:tc>
        <w:tc>
          <w:tcPr>
            <w:tcW w:w="1324" w:type="dxa"/>
            <w:shd w:val="clear" w:color="auto" w:fill="auto"/>
            <w:noWrap w:val="0"/>
            <w:vAlign w:val="top"/>
          </w:tcPr>
          <w:p>
            <w:pPr>
              <w:spacing w:line="360" w:lineRule="auto"/>
            </w:pPr>
            <w:r>
              <w:rPr>
                <w:rFonts w:hint="eastAsia"/>
              </w:rPr>
              <w:t>1</w:t>
            </w:r>
          </w:p>
        </w:tc>
        <w:tc>
          <w:tcPr>
            <w:tcW w:w="1353" w:type="dxa"/>
            <w:shd w:val="clear" w:color="auto" w:fill="auto"/>
            <w:noWrap w:val="0"/>
            <w:vAlign w:val="top"/>
          </w:tcPr>
          <w:p>
            <w:pPr>
              <w:spacing w:line="360" w:lineRule="auto"/>
            </w:pPr>
            <w:r>
              <w:rPr>
                <w:rFonts w:hint="eastAsia"/>
              </w:rPr>
              <w:t>2</w:t>
            </w:r>
          </w:p>
        </w:tc>
        <w:tc>
          <w:tcPr>
            <w:tcW w:w="766" w:type="dxa"/>
            <w:shd w:val="clear" w:color="auto" w:fill="auto"/>
            <w:noWrap w:val="0"/>
            <w:vAlign w:val="top"/>
          </w:tcPr>
          <w:p>
            <w:pPr>
              <w:spacing w:line="360" w:lineRule="auto"/>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shd w:val="clear" w:color="auto" w:fill="auto"/>
            <w:noWrap w:val="0"/>
            <w:vAlign w:val="top"/>
          </w:tcPr>
          <w:p>
            <w:pPr>
              <w:spacing w:line="360" w:lineRule="auto"/>
            </w:pPr>
            <w:r>
              <w:rPr>
                <w:rFonts w:hint="eastAsia"/>
              </w:rPr>
              <w:t>加权计算后的账面价值</w:t>
            </w:r>
          </w:p>
        </w:tc>
        <w:tc>
          <w:tcPr>
            <w:tcW w:w="1324" w:type="dxa"/>
            <w:shd w:val="clear" w:color="auto" w:fill="auto"/>
            <w:noWrap w:val="0"/>
            <w:vAlign w:val="top"/>
          </w:tcPr>
          <w:p>
            <w:pPr>
              <w:spacing w:line="360" w:lineRule="auto"/>
            </w:pPr>
            <w:r>
              <w:rPr>
                <w:rFonts w:hint="eastAsia"/>
              </w:rPr>
              <w:t>560</w:t>
            </w:r>
          </w:p>
        </w:tc>
        <w:tc>
          <w:tcPr>
            <w:tcW w:w="1353" w:type="dxa"/>
            <w:shd w:val="clear" w:color="auto" w:fill="auto"/>
            <w:noWrap w:val="0"/>
            <w:vAlign w:val="top"/>
          </w:tcPr>
          <w:p>
            <w:pPr>
              <w:spacing w:line="360" w:lineRule="auto"/>
            </w:pPr>
            <w:r>
              <w:rPr>
                <w:rFonts w:hint="eastAsia"/>
              </w:rPr>
              <w:t>840</w:t>
            </w:r>
          </w:p>
        </w:tc>
        <w:tc>
          <w:tcPr>
            <w:tcW w:w="766" w:type="dxa"/>
            <w:shd w:val="clear" w:color="auto" w:fill="auto"/>
            <w:noWrap w:val="0"/>
            <w:vAlign w:val="top"/>
          </w:tcPr>
          <w:p>
            <w:pPr>
              <w:spacing w:line="360" w:lineRule="auto"/>
            </w:pPr>
            <w:r>
              <w:rPr>
                <w:rFonts w:hint="eastAsia"/>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shd w:val="clear" w:color="auto" w:fill="auto"/>
            <w:noWrap w:val="0"/>
            <w:vAlign w:val="top"/>
          </w:tcPr>
          <w:p>
            <w:pPr>
              <w:spacing w:line="360" w:lineRule="auto"/>
            </w:pPr>
            <w:r>
              <w:rPr>
                <w:rFonts w:hint="eastAsia"/>
              </w:rPr>
              <w:t>总部资产分摊比例</w:t>
            </w:r>
          </w:p>
        </w:tc>
        <w:tc>
          <w:tcPr>
            <w:tcW w:w="1324" w:type="dxa"/>
            <w:shd w:val="clear" w:color="auto" w:fill="auto"/>
            <w:noWrap w:val="0"/>
            <w:vAlign w:val="top"/>
          </w:tcPr>
          <w:p>
            <w:pPr>
              <w:spacing w:line="360" w:lineRule="auto"/>
            </w:pPr>
            <w:r>
              <w:rPr>
                <w:rFonts w:hint="eastAsia"/>
              </w:rPr>
              <w:t>40%</w:t>
            </w:r>
          </w:p>
        </w:tc>
        <w:tc>
          <w:tcPr>
            <w:tcW w:w="1353" w:type="dxa"/>
            <w:shd w:val="clear" w:color="auto" w:fill="auto"/>
            <w:noWrap w:val="0"/>
            <w:vAlign w:val="top"/>
          </w:tcPr>
          <w:p>
            <w:pPr>
              <w:spacing w:line="360" w:lineRule="auto"/>
            </w:pPr>
            <w:r>
              <w:rPr>
                <w:rFonts w:hint="eastAsia"/>
              </w:rPr>
              <w:t>60%</w:t>
            </w:r>
          </w:p>
        </w:tc>
        <w:tc>
          <w:tcPr>
            <w:tcW w:w="766" w:type="dxa"/>
            <w:shd w:val="clear" w:color="auto" w:fill="auto"/>
            <w:noWrap w:val="0"/>
            <w:vAlign w:val="top"/>
          </w:tcPr>
          <w:p>
            <w:pPr>
              <w:spacing w:line="360" w:lineRule="auto"/>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shd w:val="clear" w:color="auto" w:fill="auto"/>
            <w:noWrap w:val="0"/>
            <w:vAlign w:val="top"/>
          </w:tcPr>
          <w:p>
            <w:pPr>
              <w:spacing w:line="360" w:lineRule="auto"/>
            </w:pPr>
            <w:r>
              <w:rPr>
                <w:rFonts w:hint="eastAsia"/>
              </w:rPr>
              <w:t>总部资产账面价值分摊到各资产组的金额</w:t>
            </w:r>
          </w:p>
        </w:tc>
        <w:tc>
          <w:tcPr>
            <w:tcW w:w="1324" w:type="dxa"/>
            <w:shd w:val="clear" w:color="auto" w:fill="auto"/>
            <w:noWrap w:val="0"/>
            <w:vAlign w:val="top"/>
          </w:tcPr>
          <w:p>
            <w:pPr>
              <w:spacing w:line="360" w:lineRule="auto"/>
            </w:pPr>
            <w:r>
              <w:rPr>
                <w:rFonts w:hint="eastAsia"/>
              </w:rPr>
              <w:t>80</w:t>
            </w:r>
          </w:p>
        </w:tc>
        <w:tc>
          <w:tcPr>
            <w:tcW w:w="1353" w:type="dxa"/>
            <w:shd w:val="clear" w:color="auto" w:fill="auto"/>
            <w:noWrap w:val="0"/>
            <w:vAlign w:val="top"/>
          </w:tcPr>
          <w:p>
            <w:pPr>
              <w:spacing w:line="360" w:lineRule="auto"/>
            </w:pPr>
            <w:r>
              <w:rPr>
                <w:rFonts w:hint="eastAsia"/>
              </w:rPr>
              <w:t>120</w:t>
            </w:r>
          </w:p>
        </w:tc>
        <w:tc>
          <w:tcPr>
            <w:tcW w:w="766" w:type="dxa"/>
            <w:shd w:val="clear" w:color="auto" w:fill="auto"/>
            <w:noWrap w:val="0"/>
            <w:vAlign w:val="top"/>
          </w:tcPr>
          <w:p>
            <w:pPr>
              <w:spacing w:line="360" w:lineRule="auto"/>
            </w:pPr>
            <w:r>
              <w:rPr>
                <w:rFonts w:hint="eastAsia"/>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8" w:type="dxa"/>
            <w:shd w:val="clear" w:color="auto" w:fill="auto"/>
            <w:noWrap w:val="0"/>
            <w:vAlign w:val="top"/>
          </w:tcPr>
          <w:p>
            <w:pPr>
              <w:spacing w:line="360" w:lineRule="auto"/>
            </w:pPr>
            <w:r>
              <w:rPr>
                <w:rFonts w:hint="eastAsia"/>
              </w:rPr>
              <w:t>包括分摊的总部资产账面价值部分的各资产组账面价值</w:t>
            </w:r>
          </w:p>
        </w:tc>
        <w:tc>
          <w:tcPr>
            <w:tcW w:w="1324" w:type="dxa"/>
            <w:shd w:val="clear" w:color="auto" w:fill="auto"/>
            <w:noWrap w:val="0"/>
            <w:vAlign w:val="top"/>
          </w:tcPr>
          <w:p>
            <w:pPr>
              <w:spacing w:line="360" w:lineRule="auto"/>
            </w:pPr>
            <w:r>
              <w:rPr>
                <w:rFonts w:hint="eastAsia"/>
              </w:rPr>
              <w:t>640</w:t>
            </w:r>
          </w:p>
        </w:tc>
        <w:tc>
          <w:tcPr>
            <w:tcW w:w="1353" w:type="dxa"/>
            <w:shd w:val="clear" w:color="auto" w:fill="auto"/>
            <w:noWrap w:val="0"/>
            <w:vAlign w:val="top"/>
          </w:tcPr>
          <w:p>
            <w:pPr>
              <w:spacing w:line="360" w:lineRule="auto"/>
            </w:pPr>
            <w:r>
              <w:rPr>
                <w:rFonts w:hint="eastAsia"/>
              </w:rPr>
              <w:t>540</w:t>
            </w:r>
          </w:p>
        </w:tc>
        <w:tc>
          <w:tcPr>
            <w:tcW w:w="766" w:type="dxa"/>
            <w:shd w:val="clear" w:color="auto" w:fill="auto"/>
            <w:noWrap w:val="0"/>
            <w:vAlign w:val="top"/>
          </w:tcPr>
          <w:p>
            <w:pPr>
              <w:spacing w:line="360" w:lineRule="auto"/>
            </w:pPr>
            <w:r>
              <w:rPr>
                <w:rFonts w:hint="eastAsia"/>
              </w:rPr>
              <w:t>1180</w:t>
            </w:r>
          </w:p>
        </w:tc>
      </w:tr>
    </w:tbl>
    <w:p>
      <w:pPr>
        <w:spacing w:line="360" w:lineRule="auto"/>
        <w:rPr>
          <w:rFonts w:hint="eastAsia"/>
        </w:rPr>
      </w:pPr>
      <w:r>
        <w:rPr>
          <w:rFonts w:hint="eastAsia"/>
        </w:rPr>
        <w:t>（2）将分摊总部资产后的各资产组账面价值与其可收回金额进行比较，确定应计提减值准备的金额。</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2867"/>
        <w:gridCol w:w="2137"/>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shd w:val="clear" w:color="auto" w:fill="auto"/>
            <w:noWrap w:val="0"/>
            <w:vAlign w:val="top"/>
          </w:tcPr>
          <w:p>
            <w:pPr>
              <w:spacing w:line="360" w:lineRule="auto"/>
            </w:pPr>
            <w:r>
              <w:rPr>
                <w:rFonts w:hint="eastAsia"/>
              </w:rPr>
              <w:t>资产组合</w:t>
            </w:r>
          </w:p>
        </w:tc>
        <w:tc>
          <w:tcPr>
            <w:tcW w:w="2976" w:type="dxa"/>
            <w:shd w:val="clear" w:color="auto" w:fill="auto"/>
            <w:noWrap w:val="0"/>
            <w:vAlign w:val="top"/>
          </w:tcPr>
          <w:p>
            <w:pPr>
              <w:spacing w:line="360" w:lineRule="auto"/>
            </w:pPr>
            <w:r>
              <w:rPr>
                <w:rFonts w:hint="eastAsia"/>
              </w:rPr>
              <w:t>分摊总部资产后的账面价值</w:t>
            </w:r>
          </w:p>
        </w:tc>
        <w:tc>
          <w:tcPr>
            <w:tcW w:w="2212" w:type="dxa"/>
            <w:shd w:val="clear" w:color="auto" w:fill="auto"/>
            <w:noWrap w:val="0"/>
            <w:vAlign w:val="top"/>
          </w:tcPr>
          <w:p>
            <w:pPr>
              <w:spacing w:line="360" w:lineRule="auto"/>
            </w:pPr>
            <w:r>
              <w:rPr>
                <w:rFonts w:hint="eastAsia"/>
              </w:rPr>
              <w:t>可收回金额</w:t>
            </w:r>
          </w:p>
        </w:tc>
        <w:tc>
          <w:tcPr>
            <w:tcW w:w="2204" w:type="dxa"/>
            <w:shd w:val="clear" w:color="auto" w:fill="auto"/>
            <w:noWrap w:val="0"/>
            <w:vAlign w:val="top"/>
          </w:tcPr>
          <w:p>
            <w:pPr>
              <w:spacing w:line="360" w:lineRule="auto"/>
            </w:pPr>
            <w:r>
              <w:rPr>
                <w:rFonts w:hint="eastAsia"/>
              </w:rPr>
              <w:t>应计提减值准备金额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shd w:val="clear" w:color="auto" w:fill="auto"/>
            <w:noWrap w:val="0"/>
            <w:vAlign w:val="top"/>
          </w:tcPr>
          <w:p>
            <w:pPr>
              <w:spacing w:line="360" w:lineRule="auto"/>
            </w:pPr>
            <w:r>
              <w:rPr>
                <w:rFonts w:hint="eastAsia"/>
              </w:rPr>
              <w:t>第一生产线</w:t>
            </w:r>
          </w:p>
        </w:tc>
        <w:tc>
          <w:tcPr>
            <w:tcW w:w="2976" w:type="dxa"/>
            <w:shd w:val="clear" w:color="auto" w:fill="auto"/>
            <w:noWrap w:val="0"/>
            <w:vAlign w:val="top"/>
          </w:tcPr>
          <w:p>
            <w:pPr>
              <w:spacing w:line="360" w:lineRule="auto"/>
            </w:pPr>
            <w:r>
              <w:rPr>
                <w:rFonts w:hint="eastAsia"/>
              </w:rPr>
              <w:t>640</w:t>
            </w:r>
          </w:p>
        </w:tc>
        <w:tc>
          <w:tcPr>
            <w:tcW w:w="2212" w:type="dxa"/>
            <w:shd w:val="clear" w:color="auto" w:fill="auto"/>
            <w:noWrap w:val="0"/>
            <w:vAlign w:val="top"/>
          </w:tcPr>
          <w:p>
            <w:pPr>
              <w:spacing w:line="360" w:lineRule="auto"/>
            </w:pPr>
            <w:r>
              <w:rPr>
                <w:rFonts w:hint="eastAsia"/>
              </w:rPr>
              <w:t>650</w:t>
            </w:r>
          </w:p>
        </w:tc>
        <w:tc>
          <w:tcPr>
            <w:tcW w:w="2204" w:type="dxa"/>
            <w:shd w:val="clear" w:color="auto" w:fill="auto"/>
            <w:noWrap w:val="0"/>
            <w:vAlign w:val="top"/>
          </w:tcPr>
          <w:p>
            <w:pPr>
              <w:spacing w:line="360" w:lineRule="auto"/>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shd w:val="clear" w:color="auto" w:fill="auto"/>
            <w:noWrap w:val="0"/>
            <w:vAlign w:val="top"/>
          </w:tcPr>
          <w:p>
            <w:pPr>
              <w:spacing w:line="360" w:lineRule="auto"/>
            </w:pPr>
            <w:r>
              <w:rPr>
                <w:rFonts w:hint="eastAsia"/>
              </w:rPr>
              <w:t>第二生产线</w:t>
            </w:r>
          </w:p>
        </w:tc>
        <w:tc>
          <w:tcPr>
            <w:tcW w:w="2976" w:type="dxa"/>
            <w:shd w:val="clear" w:color="auto" w:fill="auto"/>
            <w:noWrap w:val="0"/>
            <w:vAlign w:val="top"/>
          </w:tcPr>
          <w:p>
            <w:pPr>
              <w:spacing w:line="360" w:lineRule="auto"/>
            </w:pPr>
            <w:r>
              <w:rPr>
                <w:rFonts w:hint="eastAsia"/>
              </w:rPr>
              <w:t>540</w:t>
            </w:r>
          </w:p>
        </w:tc>
        <w:tc>
          <w:tcPr>
            <w:tcW w:w="2212" w:type="dxa"/>
            <w:shd w:val="clear" w:color="auto" w:fill="auto"/>
            <w:noWrap w:val="0"/>
            <w:vAlign w:val="top"/>
          </w:tcPr>
          <w:p>
            <w:pPr>
              <w:spacing w:line="360" w:lineRule="auto"/>
            </w:pPr>
            <w:r>
              <w:rPr>
                <w:rFonts w:hint="eastAsia"/>
              </w:rPr>
              <w:t>500</w:t>
            </w:r>
          </w:p>
        </w:tc>
        <w:tc>
          <w:tcPr>
            <w:tcW w:w="2204" w:type="dxa"/>
            <w:shd w:val="clear" w:color="auto" w:fill="auto"/>
            <w:noWrap w:val="0"/>
            <w:vAlign w:val="top"/>
          </w:tcPr>
          <w:p>
            <w:pPr>
              <w:spacing w:line="360" w:lineRule="auto"/>
            </w:pPr>
            <w:r>
              <w:rPr>
                <w:rFonts w:hint="eastAsia"/>
              </w:rPr>
              <w:t>40</w:t>
            </w:r>
          </w:p>
        </w:tc>
      </w:tr>
    </w:tbl>
    <w:p>
      <w:pPr>
        <w:spacing w:line="360" w:lineRule="auto"/>
        <w:rPr>
          <w:rFonts w:hint="eastAsia" w:eastAsia="宋体"/>
          <w:lang w:eastAsia="zh-CN"/>
        </w:rPr>
      </w:pPr>
      <w:r>
        <w:rPr>
          <w:rFonts w:hint="eastAsia"/>
        </w:rPr>
        <w:t>（3）将各资产组的减值额在总部资产和各资产组之间分配</w:t>
      </w:r>
      <w:r>
        <w:rPr>
          <w:rFonts w:hint="eastAsia"/>
          <w:lang w:val="en-US" w:eastAsia="zh-CN"/>
        </w:rPr>
        <w:t>.</w:t>
      </w:r>
    </w:p>
    <w:p>
      <w:pPr>
        <w:spacing w:line="360" w:lineRule="auto"/>
        <w:rPr>
          <w:rFonts w:hint="eastAsia"/>
        </w:rPr>
      </w:pPr>
      <w:r>
        <w:rPr>
          <w:rFonts w:hint="eastAsia"/>
        </w:rPr>
        <w:t>第二生产线减值额分配给总部资产的减值金额＝40×（120/540）＝8.89（万元），</w:t>
      </w:r>
    </w:p>
    <w:p>
      <w:pPr>
        <w:spacing w:line="360" w:lineRule="auto"/>
        <w:rPr>
          <w:rFonts w:hint="eastAsia"/>
        </w:rPr>
      </w:pPr>
      <w:r>
        <w:rPr>
          <w:rFonts w:hint="eastAsia"/>
        </w:rPr>
        <w:t>分配给第二生产线减值金额＝40-8.89＝31.11（万元）</w:t>
      </w:r>
    </w:p>
    <w:p>
      <w:pPr>
        <w:spacing w:line="360" w:lineRule="auto"/>
        <w:rPr>
          <w:rFonts w:hint="eastAsia"/>
        </w:rPr>
      </w:pPr>
      <w:r>
        <w:rPr>
          <w:rFonts w:hint="eastAsia"/>
        </w:rPr>
        <w:t>总部资产应计提减值准备的金额为8.89万元。</w:t>
      </w:r>
    </w:p>
    <w:p>
      <w:pPr>
        <w:spacing w:line="360" w:lineRule="auto"/>
        <w:rPr>
          <w:rFonts w:hint="eastAsia"/>
        </w:rPr>
      </w:pPr>
      <w:r>
        <w:rPr>
          <w:rFonts w:hint="eastAsia"/>
        </w:rPr>
        <w:t>（4）将第二生产线的损失分配至资产组各项设备。</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2139"/>
        <w:gridCol w:w="2138"/>
        <w:gridCol w:w="2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shd w:val="clear" w:color="auto" w:fill="auto"/>
            <w:noWrap w:val="0"/>
            <w:vAlign w:val="top"/>
          </w:tcPr>
          <w:p>
            <w:pPr>
              <w:spacing w:line="360" w:lineRule="auto"/>
              <w:rPr>
                <w:rFonts w:hint="eastAsia"/>
              </w:rPr>
            </w:pPr>
            <w:r>
              <w:rPr>
                <w:rFonts w:hint="eastAsia"/>
              </w:rPr>
              <w:t>项目</w:t>
            </w:r>
          </w:p>
        </w:tc>
        <w:tc>
          <w:tcPr>
            <w:tcW w:w="2264" w:type="dxa"/>
            <w:shd w:val="clear" w:color="auto" w:fill="auto"/>
            <w:noWrap w:val="0"/>
            <w:vAlign w:val="top"/>
          </w:tcPr>
          <w:p>
            <w:pPr>
              <w:spacing w:line="360" w:lineRule="auto"/>
            </w:pPr>
            <w:r>
              <w:rPr>
                <w:rFonts w:hint="eastAsia"/>
              </w:rPr>
              <w:t>A设备</w:t>
            </w:r>
          </w:p>
        </w:tc>
        <w:tc>
          <w:tcPr>
            <w:tcW w:w="2264" w:type="dxa"/>
            <w:shd w:val="clear" w:color="auto" w:fill="auto"/>
            <w:noWrap w:val="0"/>
            <w:vAlign w:val="top"/>
          </w:tcPr>
          <w:p>
            <w:pPr>
              <w:spacing w:line="360" w:lineRule="auto"/>
            </w:pPr>
            <w:r>
              <w:rPr>
                <w:rFonts w:hint="eastAsia"/>
              </w:rPr>
              <w:t>B设备</w:t>
            </w:r>
          </w:p>
        </w:tc>
        <w:tc>
          <w:tcPr>
            <w:tcW w:w="2264" w:type="dxa"/>
            <w:shd w:val="clear" w:color="auto" w:fill="auto"/>
            <w:noWrap w:val="0"/>
            <w:vAlign w:val="top"/>
          </w:tcPr>
          <w:p>
            <w:pPr>
              <w:spacing w:line="360" w:lineRule="auto"/>
            </w:pPr>
            <w:r>
              <w:rPr>
                <w:rFonts w:hint="eastAsia"/>
              </w:rPr>
              <w:t>第二生产线资产组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shd w:val="clear" w:color="auto" w:fill="auto"/>
            <w:noWrap w:val="0"/>
            <w:vAlign w:val="top"/>
          </w:tcPr>
          <w:p>
            <w:pPr>
              <w:spacing w:line="360" w:lineRule="auto"/>
              <w:rPr>
                <w:rFonts w:hint="eastAsia"/>
              </w:rPr>
            </w:pPr>
            <w:r>
              <w:rPr>
                <w:rFonts w:hint="eastAsia"/>
              </w:rPr>
              <w:t>账面价值</w:t>
            </w:r>
          </w:p>
        </w:tc>
        <w:tc>
          <w:tcPr>
            <w:tcW w:w="2264" w:type="dxa"/>
            <w:shd w:val="clear" w:color="auto" w:fill="auto"/>
            <w:noWrap w:val="0"/>
            <w:vAlign w:val="top"/>
          </w:tcPr>
          <w:p>
            <w:pPr>
              <w:spacing w:line="360" w:lineRule="auto"/>
            </w:pPr>
            <w:r>
              <w:rPr>
                <w:rFonts w:hint="eastAsia"/>
              </w:rPr>
              <w:t>294</w:t>
            </w:r>
          </w:p>
        </w:tc>
        <w:tc>
          <w:tcPr>
            <w:tcW w:w="2264" w:type="dxa"/>
            <w:shd w:val="clear" w:color="auto" w:fill="auto"/>
            <w:noWrap w:val="0"/>
            <w:vAlign w:val="top"/>
          </w:tcPr>
          <w:p>
            <w:pPr>
              <w:spacing w:line="360" w:lineRule="auto"/>
            </w:pPr>
            <w:r>
              <w:rPr>
                <w:rFonts w:hint="eastAsia"/>
              </w:rPr>
              <w:t>126</w:t>
            </w:r>
          </w:p>
        </w:tc>
        <w:tc>
          <w:tcPr>
            <w:tcW w:w="2264" w:type="dxa"/>
            <w:shd w:val="clear" w:color="auto" w:fill="auto"/>
            <w:noWrap w:val="0"/>
            <w:vAlign w:val="top"/>
          </w:tcPr>
          <w:p>
            <w:pPr>
              <w:spacing w:line="360" w:lineRule="auto"/>
            </w:pPr>
            <w:r>
              <w:rPr>
                <w:rFonts w:hint="eastAsia"/>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shd w:val="clear" w:color="auto" w:fill="auto"/>
            <w:noWrap w:val="0"/>
            <w:vAlign w:val="top"/>
          </w:tcPr>
          <w:p>
            <w:pPr>
              <w:spacing w:line="360" w:lineRule="auto"/>
              <w:rPr>
                <w:rFonts w:hint="eastAsia"/>
              </w:rPr>
            </w:pPr>
            <w:r>
              <w:rPr>
                <w:rFonts w:hint="eastAsia"/>
              </w:rPr>
              <w:t>减值损失</w:t>
            </w:r>
          </w:p>
        </w:tc>
        <w:tc>
          <w:tcPr>
            <w:tcW w:w="2264" w:type="dxa"/>
            <w:shd w:val="clear" w:color="auto" w:fill="auto"/>
            <w:noWrap w:val="0"/>
            <w:vAlign w:val="top"/>
          </w:tcPr>
          <w:p>
            <w:pPr>
              <w:spacing w:line="360" w:lineRule="auto"/>
              <w:rPr>
                <w:rFonts w:hint="eastAsia"/>
              </w:rPr>
            </w:pPr>
            <w:r>
              <w:rPr>
                <w:rFonts w:hint="eastAsia"/>
              </w:rPr>
              <w:t>-</w:t>
            </w:r>
          </w:p>
        </w:tc>
        <w:tc>
          <w:tcPr>
            <w:tcW w:w="2264" w:type="dxa"/>
            <w:shd w:val="clear" w:color="auto" w:fill="auto"/>
            <w:noWrap w:val="0"/>
            <w:vAlign w:val="top"/>
          </w:tcPr>
          <w:p>
            <w:pPr>
              <w:spacing w:line="360" w:lineRule="auto"/>
              <w:rPr>
                <w:rFonts w:hint="eastAsia"/>
              </w:rPr>
            </w:pPr>
            <w:r>
              <w:rPr>
                <w:rFonts w:hint="eastAsia"/>
              </w:rPr>
              <w:t>-</w:t>
            </w:r>
          </w:p>
        </w:tc>
        <w:tc>
          <w:tcPr>
            <w:tcW w:w="2264" w:type="dxa"/>
            <w:shd w:val="clear" w:color="auto" w:fill="auto"/>
            <w:noWrap w:val="0"/>
            <w:vAlign w:val="top"/>
          </w:tcPr>
          <w:p>
            <w:pPr>
              <w:spacing w:line="360" w:lineRule="auto"/>
            </w:pPr>
            <w:r>
              <w:rPr>
                <w:rFonts w:hint="eastAsia"/>
              </w:rPr>
              <w:t>31.11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shd w:val="clear" w:color="auto" w:fill="auto"/>
            <w:noWrap w:val="0"/>
            <w:vAlign w:val="top"/>
          </w:tcPr>
          <w:p>
            <w:pPr>
              <w:spacing w:line="360" w:lineRule="auto"/>
            </w:pPr>
            <w:r>
              <w:rPr>
                <w:rFonts w:hint="eastAsia"/>
              </w:rPr>
              <w:t>减值损失分配比例</w:t>
            </w:r>
          </w:p>
        </w:tc>
        <w:tc>
          <w:tcPr>
            <w:tcW w:w="2264" w:type="dxa"/>
            <w:shd w:val="clear" w:color="auto" w:fill="auto"/>
            <w:noWrap w:val="0"/>
            <w:vAlign w:val="top"/>
          </w:tcPr>
          <w:p>
            <w:pPr>
              <w:spacing w:line="360" w:lineRule="auto"/>
            </w:pPr>
            <w:r>
              <w:rPr>
                <w:rFonts w:hint="eastAsia"/>
              </w:rPr>
              <w:t>70%</w:t>
            </w:r>
          </w:p>
        </w:tc>
        <w:tc>
          <w:tcPr>
            <w:tcW w:w="2264" w:type="dxa"/>
            <w:shd w:val="clear" w:color="auto" w:fill="auto"/>
            <w:noWrap w:val="0"/>
            <w:vAlign w:val="top"/>
          </w:tcPr>
          <w:p>
            <w:pPr>
              <w:spacing w:line="360" w:lineRule="auto"/>
            </w:pPr>
            <w:r>
              <w:rPr>
                <w:rFonts w:hint="eastAsia"/>
              </w:rPr>
              <w:t>30%</w:t>
            </w:r>
          </w:p>
        </w:tc>
        <w:tc>
          <w:tcPr>
            <w:tcW w:w="2264" w:type="dxa"/>
            <w:shd w:val="clear" w:color="auto" w:fill="auto"/>
            <w:noWrap w:val="0"/>
            <w:vAlign w:val="top"/>
          </w:tcPr>
          <w:p>
            <w:pPr>
              <w:spacing w:line="360" w:lineRule="auto"/>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shd w:val="clear" w:color="auto" w:fill="auto"/>
            <w:noWrap w:val="0"/>
            <w:vAlign w:val="top"/>
          </w:tcPr>
          <w:p>
            <w:pPr>
              <w:spacing w:line="360" w:lineRule="auto"/>
            </w:pPr>
            <w:r>
              <w:rPr>
                <w:rFonts w:hint="eastAsia"/>
              </w:rPr>
              <w:t>分摊减值损失</w:t>
            </w:r>
          </w:p>
        </w:tc>
        <w:tc>
          <w:tcPr>
            <w:tcW w:w="2264" w:type="dxa"/>
            <w:shd w:val="clear" w:color="auto" w:fill="auto"/>
            <w:noWrap w:val="0"/>
            <w:vAlign w:val="top"/>
          </w:tcPr>
          <w:p>
            <w:pPr>
              <w:spacing w:line="360" w:lineRule="auto"/>
            </w:pPr>
            <w:r>
              <w:rPr>
                <w:rFonts w:hint="eastAsia"/>
              </w:rPr>
              <w:t>21.78</w:t>
            </w:r>
          </w:p>
        </w:tc>
        <w:tc>
          <w:tcPr>
            <w:tcW w:w="2264" w:type="dxa"/>
            <w:shd w:val="clear" w:color="auto" w:fill="auto"/>
            <w:noWrap w:val="0"/>
            <w:vAlign w:val="top"/>
          </w:tcPr>
          <w:p>
            <w:pPr>
              <w:spacing w:line="360" w:lineRule="auto"/>
            </w:pPr>
            <w:r>
              <w:rPr>
                <w:rFonts w:hint="eastAsia"/>
              </w:rPr>
              <w:t>9.33</w:t>
            </w:r>
          </w:p>
        </w:tc>
        <w:tc>
          <w:tcPr>
            <w:tcW w:w="2264" w:type="dxa"/>
            <w:shd w:val="clear" w:color="auto" w:fill="auto"/>
            <w:noWrap w:val="0"/>
            <w:vAlign w:val="top"/>
          </w:tcPr>
          <w:p>
            <w:pPr>
              <w:spacing w:line="360" w:lineRule="auto"/>
            </w:pPr>
            <w:r>
              <w:rPr>
                <w:rFonts w:hint="eastAsia"/>
              </w:rPr>
              <w:t>31.11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shd w:val="clear" w:color="auto" w:fill="auto"/>
            <w:noWrap w:val="0"/>
            <w:vAlign w:val="top"/>
          </w:tcPr>
          <w:p>
            <w:pPr>
              <w:spacing w:line="360" w:lineRule="auto"/>
            </w:pPr>
            <w:r>
              <w:rPr>
                <w:rFonts w:hint="eastAsia"/>
              </w:rPr>
              <w:t>分摊后账面价值</w:t>
            </w:r>
          </w:p>
        </w:tc>
        <w:tc>
          <w:tcPr>
            <w:tcW w:w="2264" w:type="dxa"/>
            <w:shd w:val="clear" w:color="auto" w:fill="auto"/>
            <w:noWrap w:val="0"/>
            <w:vAlign w:val="top"/>
          </w:tcPr>
          <w:p>
            <w:pPr>
              <w:spacing w:line="360" w:lineRule="auto"/>
            </w:pPr>
            <w:r>
              <w:rPr>
                <w:rFonts w:hint="eastAsia"/>
              </w:rPr>
              <w:t>272.22</w:t>
            </w:r>
          </w:p>
        </w:tc>
        <w:tc>
          <w:tcPr>
            <w:tcW w:w="2264" w:type="dxa"/>
            <w:shd w:val="clear" w:color="auto" w:fill="auto"/>
            <w:noWrap w:val="0"/>
            <w:vAlign w:val="top"/>
          </w:tcPr>
          <w:p>
            <w:pPr>
              <w:spacing w:line="360" w:lineRule="auto"/>
            </w:pPr>
            <w:r>
              <w:rPr>
                <w:rFonts w:hint="eastAsia"/>
              </w:rPr>
              <w:t>116.67</w:t>
            </w:r>
          </w:p>
        </w:tc>
        <w:tc>
          <w:tcPr>
            <w:tcW w:w="2264" w:type="dxa"/>
            <w:shd w:val="clear" w:color="auto" w:fill="auto"/>
            <w:noWrap w:val="0"/>
            <w:vAlign w:val="top"/>
          </w:tcPr>
          <w:p>
            <w:pPr>
              <w:spacing w:line="360" w:lineRule="auto"/>
            </w:pPr>
            <w:r>
              <w:rPr>
                <w:rFonts w:hint="eastAsia"/>
              </w:rPr>
              <w:t>388.89</w:t>
            </w:r>
          </w:p>
        </w:tc>
      </w:tr>
    </w:tbl>
    <w:p>
      <w:pPr>
        <w:spacing w:line="360" w:lineRule="auto"/>
        <w:rPr>
          <w:rFonts w:hint="eastAsia"/>
        </w:rPr>
      </w:pPr>
      <w:r>
        <w:rPr>
          <w:rFonts w:hint="eastAsia"/>
        </w:rPr>
        <w:t>（5）编写计提资产减值损失的会计分录。</w:t>
      </w:r>
    </w:p>
    <w:p>
      <w:pPr>
        <w:jc w:val="left"/>
        <w:rPr>
          <w:rFonts w:hint="eastAsia" w:ascii="FZKTK--GBK1-0" w:hAnsi="FZKTK--GBK1-0" w:eastAsia="FZKTK--GBK1-0"/>
        </w:rPr>
      </w:pPr>
      <w:r>
        <w:rPr>
          <w:rFonts w:hint="eastAsia" w:ascii="FZKTK--GBK1-0" w:hAnsi="FZKTK--GBK1-0" w:eastAsia="FZKTK--GBK1-0"/>
        </w:rPr>
        <w:t>借：资产减值损失           40</w:t>
      </w:r>
    </w:p>
    <w:p>
      <w:pPr>
        <w:ind w:firstLine="420" w:firstLineChars="200"/>
        <w:jc w:val="left"/>
        <w:rPr>
          <w:rFonts w:hint="eastAsia" w:ascii="FZKTK--GBK1-0" w:hAnsi="FZKTK--GBK1-0" w:eastAsia="FZKTK--GBK1-0"/>
        </w:rPr>
      </w:pPr>
      <w:r>
        <w:rPr>
          <w:rFonts w:hint="eastAsia" w:ascii="FZKTK--GBK1-0" w:hAnsi="FZKTK--GBK1-0" w:eastAsia="FZKTK--GBK1-0"/>
        </w:rPr>
        <w:t>贷：固定资产减值准备——总部资产 8.89</w:t>
      </w:r>
    </w:p>
    <w:p>
      <w:pPr>
        <w:ind w:firstLine="2520" w:firstLineChars="1200"/>
        <w:jc w:val="left"/>
        <w:rPr>
          <w:rFonts w:hint="eastAsia" w:ascii="FZKTK--GBK1-0" w:hAnsi="FZKTK--GBK1-0" w:eastAsia="FZKTK--GBK1-0"/>
        </w:rPr>
      </w:pPr>
      <w:r>
        <w:rPr>
          <w:rFonts w:hint="eastAsia" w:ascii="FZKTK--GBK1-0" w:hAnsi="FZKTK--GBK1-0" w:eastAsia="FZKTK--GBK1-0"/>
        </w:rPr>
        <w:t>——A设备 21.78</w:t>
      </w:r>
    </w:p>
    <w:p>
      <w:pPr>
        <w:spacing w:line="360" w:lineRule="auto"/>
        <w:ind w:firstLine="2520" w:firstLineChars="1200"/>
        <w:rPr>
          <w:rFonts w:hint="eastAsia"/>
        </w:rPr>
      </w:pPr>
      <w:r>
        <w:rPr>
          <w:rFonts w:hint="eastAsia" w:ascii="FZKTK--GBK1-0" w:hAnsi="FZKTK--GBK1-0" w:eastAsia="FZKTK--GBK1-0"/>
        </w:rPr>
        <w:t>——B设备 9.33</w:t>
      </w:r>
    </w:p>
    <w:p>
      <w:pPr>
        <w:jc w:val="left"/>
        <w:rPr>
          <w:rFonts w:hint="eastAsia" w:ascii="FZKTK--GBK1-0" w:hAnsi="FZKTK--GBK1-0" w:eastAsia="FZKTK--GBK1-0"/>
        </w:rPr>
      </w:pPr>
      <w:r>
        <w:rPr>
          <w:rFonts w:hint="eastAsia" w:ascii="FZKTK--GBK1-0" w:hAnsi="FZKTK--GBK1-0" w:eastAsia="FZKTK--GBK1-0"/>
        </w:rPr>
        <w:t>2、（1）授予日：2×22年1月2日。</w:t>
      </w:r>
    </w:p>
    <w:p>
      <w:pPr>
        <w:jc w:val="left"/>
        <w:rPr>
          <w:rFonts w:hint="eastAsia" w:ascii="FZKTK--GBK1-0" w:hAnsi="FZKTK--GBK1-0" w:eastAsia="FZKTK--GBK1-0"/>
        </w:rPr>
      </w:pPr>
      <w:r>
        <w:rPr>
          <w:rFonts w:hint="eastAsia" w:ascii="FZKTK--GBK1-0" w:hAnsi="FZKTK--GBK1-0" w:eastAsia="FZKTK--GBK1-0"/>
        </w:rPr>
        <w:t>理由：因为甲公司与高管人员在2×22年1月2日签订了股权激励协议并经股东大会批准。</w:t>
      </w:r>
    </w:p>
    <w:p>
      <w:pPr>
        <w:jc w:val="left"/>
        <w:rPr>
          <w:rFonts w:hint="eastAsia" w:ascii="FZKTK--GBK1-0" w:hAnsi="FZKTK--GBK1-0" w:eastAsia="FZKTK--GBK1-0"/>
        </w:rPr>
      </w:pPr>
      <w:r>
        <w:rPr>
          <w:rFonts w:hint="eastAsia" w:ascii="FZKTK--GBK1-0" w:hAnsi="FZKTK--GBK1-0" w:eastAsia="FZKTK--GBK1-0"/>
        </w:rPr>
        <w:t>2×22年，</w:t>
      </w:r>
    </w:p>
    <w:p>
      <w:pPr>
        <w:jc w:val="left"/>
        <w:rPr>
          <w:rFonts w:hint="eastAsia" w:ascii="FZKTK--GBK1-0" w:hAnsi="FZKTK--GBK1-0" w:eastAsia="FZKTK--GBK1-0"/>
        </w:rPr>
      </w:pPr>
      <w:r>
        <w:rPr>
          <w:rFonts w:hint="eastAsia" w:ascii="FZKTK--GBK1-0" w:hAnsi="FZKTK--GBK1-0" w:eastAsia="FZKTK--GBK1-0"/>
        </w:rPr>
        <w:t>借：管理费用 1 833.33</w:t>
      </w:r>
    </w:p>
    <w:p>
      <w:pPr>
        <w:ind w:firstLine="210" w:firstLineChars="100"/>
        <w:jc w:val="left"/>
        <w:rPr>
          <w:rFonts w:hint="eastAsia" w:ascii="FZKTK--GBK1-0" w:hAnsi="FZKTK--GBK1-0" w:eastAsia="FZKTK--GBK1-0"/>
        </w:rPr>
      </w:pPr>
      <w:r>
        <w:rPr>
          <w:rFonts w:hint="eastAsia" w:ascii="FZKTK--GBK1-0" w:hAnsi="FZKTK--GBK1-0" w:eastAsia="FZKTK--GBK1-0"/>
        </w:rPr>
        <w:t>贷：资本公积——其他资本公积 1 833.33</w:t>
      </w:r>
    </w:p>
    <w:p>
      <w:pPr>
        <w:jc w:val="left"/>
        <w:rPr>
          <w:rFonts w:hint="eastAsia" w:ascii="FZKTK--GBK1-0" w:hAnsi="FZKTK--GBK1-0" w:eastAsia="FZKTK--GBK1-0"/>
        </w:rPr>
      </w:pPr>
      <w:r>
        <w:rPr>
          <w:rFonts w:hint="eastAsia" w:ascii="FZKTK--GBK1-0" w:hAnsi="FZKTK--GBK1-0" w:eastAsia="FZKTK--GBK1-0"/>
        </w:rPr>
        <w:t>2×23年，</w:t>
      </w:r>
    </w:p>
    <w:p>
      <w:pPr>
        <w:jc w:val="left"/>
        <w:rPr>
          <w:rFonts w:hint="eastAsia" w:ascii="FZKTK--GBK1-0" w:hAnsi="FZKTK--GBK1-0" w:eastAsia="FZKTK--GBK1-0"/>
        </w:rPr>
      </w:pPr>
      <w:r>
        <w:rPr>
          <w:rFonts w:hint="eastAsia" w:ascii="FZKTK--GBK1-0" w:hAnsi="FZKTK--GBK1-0" w:eastAsia="FZKTK--GBK1-0"/>
        </w:rPr>
        <w:t>借：管理费用 833.34</w:t>
      </w:r>
    </w:p>
    <w:p>
      <w:pPr>
        <w:ind w:firstLine="210" w:firstLineChars="100"/>
        <w:jc w:val="left"/>
        <w:rPr>
          <w:rFonts w:hint="eastAsia" w:ascii="FZKTK--GBK1-0" w:hAnsi="FZKTK--GBK1-0" w:eastAsia="FZKTK--GBK1-0"/>
        </w:rPr>
      </w:pPr>
      <w:r>
        <w:rPr>
          <w:rFonts w:hint="eastAsia" w:ascii="FZKTK--GBK1-0" w:hAnsi="FZKTK--GBK1-0" w:eastAsia="FZKTK--GBK1-0"/>
        </w:rPr>
        <w:t>贷：资本公积——其他资本公积 833.34</w:t>
      </w:r>
    </w:p>
    <w:p>
      <w:pPr>
        <w:jc w:val="left"/>
        <w:rPr>
          <w:rFonts w:hint="eastAsia" w:ascii="FZKTK--GBK1-0" w:hAnsi="FZKTK--GBK1-0" w:eastAsia="FZKTK--GBK1-0"/>
        </w:rPr>
      </w:pPr>
      <w:r>
        <w:rPr>
          <w:rFonts w:hint="eastAsia" w:ascii="FZKTK--GBK1-0" w:hAnsi="FZKTK--GBK1-0" w:eastAsia="FZKTK--GBK1-0"/>
        </w:rPr>
        <w:t>（2）</w:t>
      </w:r>
    </w:p>
    <w:p>
      <w:pPr>
        <w:jc w:val="left"/>
        <w:rPr>
          <w:rFonts w:hint="eastAsia" w:ascii="FZKTK--GBK1-0" w:hAnsi="FZKTK--GBK1-0" w:eastAsia="FZKTK--GBK1-0"/>
        </w:rPr>
      </w:pPr>
      <w:r>
        <w:rPr>
          <w:rFonts w:hint="eastAsia" w:ascii="FZKTK--GBK1-0" w:hAnsi="FZKTK--GBK1-0" w:eastAsia="FZKTK--GBK1-0"/>
        </w:rPr>
        <w:t>借：银行存款 1 600</w:t>
      </w:r>
    </w:p>
    <w:p>
      <w:pPr>
        <w:ind w:firstLine="420" w:firstLineChars="200"/>
        <w:jc w:val="left"/>
        <w:rPr>
          <w:rFonts w:hint="eastAsia" w:ascii="FZKTK--GBK1-0" w:hAnsi="FZKTK--GBK1-0" w:eastAsia="FZKTK--GBK1-0"/>
        </w:rPr>
      </w:pPr>
      <w:r>
        <w:rPr>
          <w:rFonts w:hint="eastAsia" w:ascii="FZKTK--GBK1-0" w:hAnsi="FZKTK--GBK1-0" w:eastAsia="FZKTK--GBK1-0"/>
        </w:rPr>
        <w:t>资本公积——其他资本公积 1 000</w:t>
      </w:r>
    </w:p>
    <w:p>
      <w:pPr>
        <w:jc w:val="left"/>
        <w:rPr>
          <w:rFonts w:hint="eastAsia" w:ascii="FZKTK--GBK1-0" w:hAnsi="FZKTK--GBK1-0" w:eastAsia="FZKTK--GBK1-0"/>
        </w:rPr>
      </w:pPr>
      <w:r>
        <w:rPr>
          <w:rFonts w:hint="eastAsia" w:ascii="FZKTK--GBK1-0" w:hAnsi="FZKTK--GBK1-0" w:eastAsia="FZKTK--GBK1-0"/>
        </w:rPr>
        <w:t>贷：股本 200</w:t>
      </w:r>
    </w:p>
    <w:p>
      <w:pPr>
        <w:ind w:firstLine="420" w:firstLineChars="200"/>
        <w:jc w:val="left"/>
        <w:rPr>
          <w:rFonts w:hint="eastAsia" w:ascii="FZKTK--GBK1-0" w:hAnsi="FZKTK--GBK1-0" w:eastAsia="FZKTK--GBK1-0"/>
        </w:rPr>
      </w:pPr>
      <w:r>
        <w:rPr>
          <w:rFonts w:hint="eastAsia" w:ascii="FZKTK--GBK1-0" w:hAnsi="FZKTK--GBK1-0" w:eastAsia="FZKTK--GBK1-0"/>
        </w:rPr>
        <w:t>资本公积——股本溢价 2 400</w:t>
      </w:r>
    </w:p>
    <w:p>
      <w:pPr>
        <w:ind w:firstLine="420" w:firstLineChars="200"/>
        <w:jc w:val="left"/>
        <w:rPr>
          <w:rFonts w:ascii="FZKTK--GBK1-0" w:hAnsi="FZKTK--GBK1-0" w:eastAsia="FZKTK--GBK1-0"/>
        </w:rPr>
      </w:pPr>
    </w:p>
    <w:p>
      <w:pPr>
        <w:spacing w:line="360" w:lineRule="auto"/>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ZKTK--GBK1-0">
    <w:altName w:val="宋体"/>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23B6C3"/>
    <w:multiLevelType w:val="singleLevel"/>
    <w:tmpl w:val="CC23B6C3"/>
    <w:lvl w:ilvl="0" w:tentative="0">
      <w:start w:val="4"/>
      <w:numFmt w:val="chineseCounting"/>
      <w:suff w:val="nothing"/>
      <w:lvlText w:val="%1、"/>
      <w:lvlJc w:val="left"/>
      <w:rPr>
        <w:rFonts w:hint="eastAsia"/>
      </w:rPr>
    </w:lvl>
  </w:abstractNum>
  <w:abstractNum w:abstractNumId="1">
    <w:nsid w:val="1DF9ED9D"/>
    <w:multiLevelType w:val="singleLevel"/>
    <w:tmpl w:val="1DF9ED9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C050AA7"/>
    <w:rsid w:val="06360369"/>
    <w:rsid w:val="185F57DC"/>
    <w:rsid w:val="23045086"/>
    <w:rsid w:val="4C050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2023-12-06T01:36:00Z</dcterms:created>
  <dc:creator>海之韵</dc:creator>
  <cp:lastModifiedBy>育华教育叶燮燮</cp:lastModifiedBy>
  <dcterms:modified xsi:type="dcterms:W3CDTF">2023-12-07T08:17:45Z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36BA0FBC6CE2413EB2D9C8948FC51D89_11</vt:lpwstr>
  </property>
</Properties>
</file>