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经济学基础复习资料：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是非题（每小题2分，共20分）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1、某种商品的价格上升时，消费者对这种商品的需求量一定会减少。（  ）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2、卖者提高价格肯定能增加总收益。（  ）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3、只要总收益小于总成本，厂商就会停止生产。（  ）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4、宏观经济政策的首要目标是实现经济增长。(   )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5、利息率越高，持有货币的代价就越大。(   )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6、商业银行是银行体系的主体。(   )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7、公开市场业务属于货币政策工具（ ）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8、LAC形成原因在于规模经济走向规模不经济。（  ）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9、垄断竞争厂商的需求曲线有两条。（  ）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10、公共物品一般由政府提供。（  ）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选择题（每小题2分，共20分）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1、 经济学的研究对象是（ 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spacing w:line="360" w:lineRule="auto"/>
        <w:ind w:firstLine="359" w:firstLineChars="17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A、资源配置    B、资源配置和资源利用   C、经济体制   D、资源的稀缺性</w:t>
      </w:r>
    </w:p>
    <w:p>
      <w:pPr>
        <w:spacing w:line="360" w:lineRule="auto"/>
        <w:ind w:left="381" w:hanging="420" w:hangingChars="2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2、当总效用以递减的速率增加时，边际效用应该是（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spacing w:line="360" w:lineRule="auto"/>
        <w:ind w:left="415" w:leftChars="150" w:hanging="100" w:hangingChars="48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A、为正值，且不断增加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 B、为正值，但不断减少</w:t>
      </w:r>
    </w:p>
    <w:p>
      <w:pPr>
        <w:spacing w:line="360" w:lineRule="auto"/>
        <w:ind w:left="415" w:leftChars="150" w:hanging="100" w:hangingChars="48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C、为负值，且不断减少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D、为负值，但不断增加</w:t>
      </w:r>
    </w:p>
    <w:p>
      <w:pPr>
        <w:spacing w:line="360" w:lineRule="auto"/>
        <w:ind w:left="381" w:hanging="420" w:hangingChars="2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3、</w:t>
      </w:r>
      <w:r>
        <w:rPr>
          <w:rFonts w:hint="eastAsia" w:ascii="宋体" w:hAnsi="宋体" w:eastAsia="宋体" w:cs="宋体"/>
          <w:sz w:val="21"/>
          <w:szCs w:val="21"/>
        </w:rPr>
        <w:t>x</w:t>
      </w:r>
      <w:r>
        <w:rPr>
          <w:rFonts w:hint="eastAsia" w:ascii="宋体" w:hAnsi="宋体" w:eastAsia="宋体" w:cs="宋体"/>
          <w:sz w:val="21"/>
          <w:szCs w:val="21"/>
        </w:rPr>
        <w:t>和</w:t>
      </w:r>
      <w:r>
        <w:rPr>
          <w:rFonts w:hint="eastAsia" w:ascii="宋体" w:hAnsi="宋体" w:eastAsia="宋体" w:cs="宋体"/>
          <w:sz w:val="21"/>
          <w:szCs w:val="21"/>
        </w:rPr>
        <w:t>y</w:t>
      </w:r>
      <w:r>
        <w:rPr>
          <w:rFonts w:hint="eastAsia" w:ascii="宋体" w:hAnsi="宋体" w:eastAsia="宋体" w:cs="宋体"/>
          <w:sz w:val="21"/>
          <w:szCs w:val="21"/>
        </w:rPr>
        <w:t>两种产品的交叉弹性为</w:t>
      </w:r>
      <w:r>
        <w:rPr>
          <w:rFonts w:hint="eastAsia" w:ascii="宋体" w:hAnsi="宋体" w:eastAsia="宋体" w:cs="宋体"/>
          <w:sz w:val="21"/>
          <w:szCs w:val="21"/>
        </w:rPr>
        <w:t>1.41,</w:t>
      </w:r>
      <w:r>
        <w:rPr>
          <w:rFonts w:hint="eastAsia" w:ascii="宋体" w:hAnsi="宋体" w:eastAsia="宋体" w:cs="宋体"/>
          <w:sz w:val="21"/>
          <w:szCs w:val="21"/>
        </w:rPr>
        <w:t>则可以确定这两种产品为（</w:t>
      </w:r>
      <w:r>
        <w:rPr>
          <w:rFonts w:hint="eastAsia" w:ascii="宋体" w:hAnsi="宋体" w:eastAsia="宋体" w:cs="宋体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spacing w:line="360" w:lineRule="auto"/>
        <w:ind w:left="415" w:leftChars="150" w:hanging="100" w:hangingChars="48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、替代品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</w:rPr>
        <w:t>、互补品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、劣质商品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</w:rPr>
        <w:t>、奢侈品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val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4、下列哪一项计入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GDP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）。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</w:t>
      </w:r>
      <w:r>
        <w:rPr>
          <w:rFonts w:hint="eastAsia" w:ascii="宋体" w:hAnsi="宋体" w:eastAsia="宋体" w:cs="宋体"/>
          <w:sz w:val="21"/>
          <w:szCs w:val="21"/>
        </w:rPr>
        <w:t>购买一辆用过的旧自行车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B. </w:t>
      </w:r>
      <w:r>
        <w:rPr>
          <w:rFonts w:hint="eastAsia" w:ascii="宋体" w:hAnsi="宋体" w:eastAsia="宋体" w:cs="宋体"/>
          <w:sz w:val="21"/>
          <w:szCs w:val="21"/>
        </w:rPr>
        <w:t>购买普通股票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 </w:t>
      </w:r>
      <w:r>
        <w:rPr>
          <w:rFonts w:hint="eastAsia" w:ascii="宋体" w:hAnsi="宋体" w:eastAsia="宋体" w:cs="宋体"/>
          <w:sz w:val="21"/>
          <w:szCs w:val="21"/>
        </w:rPr>
        <w:t>汽车制造厂买进</w:t>
      </w:r>
      <w:r>
        <w:rPr>
          <w:rFonts w:hint="eastAsia" w:ascii="宋体" w:hAnsi="宋体" w:eastAsia="宋体" w:cs="宋体"/>
          <w:sz w:val="21"/>
          <w:szCs w:val="21"/>
        </w:rPr>
        <w:t>10</w:t>
      </w:r>
      <w:r>
        <w:rPr>
          <w:rFonts w:hint="eastAsia" w:ascii="宋体" w:hAnsi="宋体" w:eastAsia="宋体" w:cs="宋体"/>
          <w:sz w:val="21"/>
          <w:szCs w:val="21"/>
        </w:rPr>
        <w:t>吨钢板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lang w:val="zh-CN"/>
        </w:rPr>
      </w:pP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z w:val="21"/>
          <w:szCs w:val="21"/>
        </w:rPr>
        <w:t>晚上为邻居照看儿童的收入</w:t>
      </w:r>
    </w:p>
    <w:p>
      <w:pPr>
        <w:spacing w:line="360" w:lineRule="auto"/>
        <w:ind w:left="280" w:hanging="308" w:hangingChars="147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5、劳动供给曲线的形状是</w:t>
      </w:r>
      <w:r>
        <w:rPr>
          <w:rFonts w:hint="eastAsia" w:ascii="宋体" w:hAnsi="宋体" w:eastAsia="宋体" w:cs="宋体"/>
          <w:sz w:val="21"/>
          <w:szCs w:val="21"/>
        </w:rPr>
        <w:t xml:space="preserve">:(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spacing w:line="360" w:lineRule="auto"/>
        <w:ind w:left="420" w:leftChars="200" w:firstLine="111" w:firstLineChars="5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 xml:space="preserve">、向后弯曲的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</w:rPr>
        <w:t xml:space="preserve">、竖直的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 xml:space="preserve">、向前弯曲的  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D、无法确定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6、</w:t>
      </w:r>
      <w:r>
        <w:rPr>
          <w:rFonts w:hint="eastAsia" w:ascii="宋体" w:hAnsi="宋体" w:eastAsia="宋体" w:cs="宋体"/>
          <w:sz w:val="21"/>
          <w:szCs w:val="21"/>
        </w:rPr>
        <w:t>公共物品的特点是（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 xml:space="preserve">、排他性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</w:rPr>
        <w:t xml:space="preserve">、竞用性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 xml:space="preserve">、非排他性和非竞用性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</w:rPr>
        <w:t>、非排他性和竞用性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7、在一个四部门经济中，GDP是（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消费、总投资、政府购买和净出口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B. 消费、净投资、政府购买和净出口</w:t>
      </w:r>
    </w:p>
    <w:p>
      <w:pPr>
        <w:spacing w:line="360" w:lineRule="auto"/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消费、总投资、政府购买和总出口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D. 工资、地租、利息、利润和折旧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8、在产品市场收入决定模型中，实际</w:t>
      </w:r>
      <w:r>
        <w:rPr>
          <w:rFonts w:hint="eastAsia" w:ascii="宋体" w:hAnsi="宋体" w:eastAsia="宋体" w:cs="宋体"/>
          <w:sz w:val="21"/>
          <w:szCs w:val="21"/>
        </w:rPr>
        <w:t>GDP</w:t>
      </w:r>
      <w:r>
        <w:rPr>
          <w:rFonts w:hint="eastAsia" w:ascii="宋体" w:hAnsi="宋体" w:eastAsia="宋体" w:cs="宋体"/>
          <w:sz w:val="21"/>
          <w:szCs w:val="21"/>
        </w:rPr>
        <w:t>高于均衡</w:t>
      </w:r>
      <w:r>
        <w:rPr>
          <w:rFonts w:hint="eastAsia" w:ascii="宋体" w:hAnsi="宋体" w:eastAsia="宋体" w:cs="宋体"/>
          <w:sz w:val="21"/>
          <w:szCs w:val="21"/>
        </w:rPr>
        <w:t>GDP</w:t>
      </w:r>
      <w:r>
        <w:rPr>
          <w:rFonts w:hint="eastAsia" w:ascii="宋体" w:hAnsi="宋体" w:eastAsia="宋体" w:cs="宋体"/>
          <w:sz w:val="21"/>
          <w:szCs w:val="21"/>
        </w:rPr>
        <w:t>，意味着（    ）。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>储蓄大于实际投资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>储蓄小于实际投资</w:t>
      </w:r>
    </w:p>
    <w:p>
      <w:pPr>
        <w:spacing w:line="360" w:lineRule="auto"/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>储蓄大于计划投资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储蓄小于计划投资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9、在斯威齐模型中，拐点左右两边的需求弹性是（       ）。</w:t>
      </w:r>
    </w:p>
    <w:p>
      <w:pPr>
        <w:spacing w:line="360" w:lineRule="auto"/>
        <w:ind w:left="306" w:leftChars="100" w:hanging="96" w:hangingChars="4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A、左边弹性大，右边弹性小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 B、左边弹性小，右边弹性大</w:t>
      </w:r>
    </w:p>
    <w:p>
      <w:pPr>
        <w:spacing w:line="360" w:lineRule="auto"/>
        <w:ind w:left="306" w:leftChars="100" w:hanging="96" w:hangingChars="4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C、左右两边弹性一样大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D、以上都不对。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10、投资对利率的反应程度由（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 xml:space="preserve"> ）乘数来反映。</w:t>
      </w:r>
    </w:p>
    <w:p>
      <w:pPr>
        <w:spacing w:line="360" w:lineRule="auto"/>
        <w:ind w:firstLine="102" w:firstLineChars="49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A、投资乘数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B、加速数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C、政府购买乘数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D、平衡预算乘数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名词解释（每小题4分，共20分）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均衡价格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边际替代率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等成本线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GDP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5、正常利润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五、</w:t>
      </w:r>
      <w:r>
        <w:rPr>
          <w:rFonts w:hint="eastAsia" w:ascii="宋体" w:hAnsi="宋体" w:eastAsia="宋体" w:cs="宋体"/>
          <w:b/>
          <w:sz w:val="21"/>
          <w:szCs w:val="21"/>
        </w:rPr>
        <w:t>简答题（每小题8分，共40分）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影响需求的因素。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调节经济结构的必要性</w:t>
      </w:r>
      <w:r>
        <w:rPr>
          <w:rFonts w:hint="eastAsia" w:ascii="宋体" w:hAnsi="宋体" w:eastAsia="宋体" w:cs="宋体"/>
          <w:sz w:val="21"/>
          <w:szCs w:val="21"/>
        </w:rPr>
        <w:t>？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在市场经济中，市场结构共有哪几种？划分市场就结构的依据是什么？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spacing w:line="360" w:lineRule="auto"/>
        <w:ind w:firstLine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4、能否说边际消费倾向和平均消费倾向都总是大于零而小于</w:t>
      </w: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？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ilvl w:val="0"/>
          <w:numId w:val="2"/>
        </w:numPr>
        <w:ind w:left="360" w:leftChars="0" w:hanging="360" w:firstLineChars="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在计算国内生产总值时，为什么要把中间产品剔除在外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b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 w:val="21"/>
          <w:szCs w:val="21"/>
          <w:lang w:val="en-US" w:eastAsia="zh-CN"/>
        </w:rPr>
        <w:t>经济学基础复习资料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一、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F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2.</w:t>
      </w:r>
      <w:r>
        <w:rPr>
          <w:rFonts w:hint="eastAsia" w:ascii="宋体" w:hAnsi="宋体" w:eastAsia="宋体" w:cs="宋体"/>
          <w:sz w:val="21"/>
          <w:szCs w:val="21"/>
        </w:rPr>
        <w:t>F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3.</w:t>
      </w:r>
      <w:r>
        <w:rPr>
          <w:rFonts w:hint="eastAsia" w:ascii="宋体" w:hAnsi="宋体" w:eastAsia="宋体" w:cs="宋体"/>
          <w:sz w:val="21"/>
          <w:szCs w:val="21"/>
        </w:rPr>
        <w:t>F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4.  5.</w:t>
      </w:r>
      <w:r>
        <w:rPr>
          <w:rFonts w:hint="eastAsia" w:ascii="宋体" w:hAnsi="宋体" w:eastAsia="宋体" w:cs="宋体"/>
          <w:sz w:val="21"/>
          <w:szCs w:val="21"/>
        </w:rPr>
        <w:t>F   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T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7.  8.</w:t>
      </w:r>
      <w:r>
        <w:rPr>
          <w:rFonts w:hint="eastAsia" w:ascii="宋体" w:hAnsi="宋体" w:eastAsia="宋体" w:cs="宋体"/>
          <w:sz w:val="21"/>
          <w:szCs w:val="21"/>
        </w:rPr>
        <w:t>T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9.</w:t>
      </w:r>
      <w:r>
        <w:rPr>
          <w:rFonts w:hint="eastAsia" w:ascii="宋体" w:hAnsi="宋体" w:eastAsia="宋体" w:cs="宋体"/>
          <w:sz w:val="21"/>
          <w:szCs w:val="21"/>
        </w:rPr>
        <w:t>T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10.</w:t>
      </w:r>
      <w:r>
        <w:rPr>
          <w:rFonts w:hint="eastAsia" w:ascii="宋体" w:hAnsi="宋体" w:eastAsia="宋体" w:cs="宋体"/>
          <w:sz w:val="21"/>
          <w:szCs w:val="21"/>
        </w:rPr>
        <w:t>T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二、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2.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3.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4.   5.</w:t>
      </w:r>
      <w:r>
        <w:rPr>
          <w:rFonts w:hint="eastAsia" w:ascii="宋体" w:hAnsi="宋体" w:eastAsia="宋体" w:cs="宋体"/>
          <w:sz w:val="21"/>
          <w:szCs w:val="21"/>
        </w:rPr>
        <w:t>A  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 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7.   8.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9.   10.</w:t>
      </w:r>
      <w:r>
        <w:rPr>
          <w:rFonts w:hint="eastAsia" w:ascii="宋体" w:hAnsi="宋体" w:eastAsia="宋体" w:cs="宋体"/>
          <w:sz w:val="21"/>
          <w:szCs w:val="21"/>
        </w:rPr>
        <w:t>A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三、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1、均衡价格：该商品的市场需求量与供给量相等时的价格。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2、边际替代率：无差异曲线斜率的绝对值。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3、等成本线：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4、GDP：指一个国家或地区生产的当年市场价值的总和。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5、正常利润：企业家对自己企业家才能的报酬。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四、</w:t>
      </w:r>
      <w:r>
        <w:rPr>
          <w:rFonts w:hint="eastAsia" w:ascii="宋体" w:hAnsi="宋体" w:eastAsia="宋体" w:cs="宋体"/>
          <w:sz w:val="21"/>
          <w:szCs w:val="21"/>
        </w:rPr>
        <w:t>（以下答案为要点，具体回答时，请展开分析）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sz w:val="21"/>
          <w:szCs w:val="21"/>
        </w:rPr>
        <w:t>1、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）、商品自身的价格。（2）、相关商品的价格。（3）、消费者的收入水平及社会收入分配的平等程度。（4）、、消费者的偏好。（5）、消费者对未来的预期。（6）、政府的消费政策。（7）、人口数量与结构的变动。</w:t>
      </w:r>
    </w:p>
    <w:p>
      <w:pPr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（1）、调整结构是宏观调控的一项重要任务。（2）、是社会生产力发展的客观要求。（3）、结构合理是国民经济持续、快速、健康发展的保证。（6）、是迎接新的经济时代来临的需求。（7）、是进一步实行对外开放的需求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3、答：</w:t>
      </w:r>
    </w:p>
    <w:p>
      <w:pPr>
        <w:pStyle w:val="2"/>
        <w:spacing w:line="360" w:lineRule="auto"/>
        <w:ind w:firstLine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4、答：边际消费倾向是指每增加一单位可支配收入所增加的消费量。经验证明，对于理性的消费者来说，可支配收入增加时，消费一定增加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z w:val="21"/>
          <w:szCs w:val="21"/>
        </w:rPr>
        <w:t>否则可支配收入的增加就没有意义</w:t>
      </w:r>
      <w:r>
        <w:rPr>
          <w:rFonts w:hint="eastAsia" w:ascii="宋体" w:hAnsi="宋体" w:eastAsia="宋体" w:cs="宋体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，但消费的增加量总是小于可支配收入的增加量。因此边际消费倾向总是大于零而小于</w:t>
      </w: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。平均消费倾向是指消费在可支配收入中的比重，它总是大于零，因为消费者不能不用可支配收入消费。但平均消费倾向并不总是小于</w:t>
      </w: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。因为当可支配收入为零或很少时，人们为了生存，就必须借钱消费。此时，平均消费倾向大于</w:t>
      </w: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sz w:val="21"/>
          <w:szCs w:val="21"/>
        </w:rPr>
        <w:t>剔除中间产品，是为了避免</w:t>
      </w:r>
      <w:r>
        <w:rPr>
          <w:rFonts w:hint="eastAsia" w:ascii="宋体" w:hAnsi="宋体" w:eastAsia="宋体" w:cs="宋体"/>
          <w:sz w:val="21"/>
          <w:szCs w:val="21"/>
        </w:rPr>
        <w:t>GDP</w:t>
      </w:r>
      <w:r>
        <w:rPr>
          <w:rFonts w:hint="eastAsia" w:ascii="宋体" w:hAnsi="宋体" w:eastAsia="宋体" w:cs="宋体"/>
          <w:sz w:val="21"/>
          <w:szCs w:val="21"/>
        </w:rPr>
        <w:t>的重复计算。若中间产品被计算在内，则会导致</w:t>
      </w:r>
      <w:r>
        <w:rPr>
          <w:rFonts w:hint="eastAsia" w:ascii="宋体" w:hAnsi="宋体" w:eastAsia="宋体" w:cs="宋体"/>
          <w:sz w:val="21"/>
          <w:szCs w:val="21"/>
        </w:rPr>
        <w:t>GDP</w:t>
      </w:r>
      <w:r>
        <w:rPr>
          <w:rFonts w:hint="eastAsia" w:ascii="宋体" w:hAnsi="宋体" w:eastAsia="宋体" w:cs="宋体"/>
          <w:sz w:val="21"/>
          <w:szCs w:val="21"/>
        </w:rPr>
        <w:t>比实际</w:t>
      </w:r>
      <w:r>
        <w:rPr>
          <w:rFonts w:hint="eastAsia" w:ascii="宋体" w:hAnsi="宋体" w:eastAsia="宋体" w:cs="宋体"/>
          <w:sz w:val="21"/>
          <w:szCs w:val="21"/>
        </w:rPr>
        <w:t>GDP</w:t>
      </w:r>
      <w:r>
        <w:rPr>
          <w:rFonts w:hint="eastAsia" w:ascii="宋体" w:hAnsi="宋体" w:eastAsia="宋体" w:cs="宋体"/>
          <w:sz w:val="21"/>
          <w:szCs w:val="21"/>
        </w:rPr>
        <w:t>大得多。为了避免重复，可用价值增加值法。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44E33"/>
    <w:multiLevelType w:val="multilevel"/>
    <w:tmpl w:val="44344E33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AAC430D"/>
    <w:multiLevelType w:val="multilevel"/>
    <w:tmpl w:val="5AAC430D"/>
    <w:lvl w:ilvl="0" w:tentative="0">
      <w:start w:val="1"/>
      <w:numFmt w:val="japaneseCounting"/>
      <w:lvlText w:val="%1、"/>
      <w:lvlJc w:val="left"/>
      <w:pPr>
        <w:tabs>
          <w:tab w:val="left" w:pos="390"/>
        </w:tabs>
        <w:ind w:left="390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D842FF"/>
    <w:rsid w:val="137B511D"/>
    <w:rsid w:val="193D1AC1"/>
    <w:rsid w:val="1BD842FF"/>
    <w:rsid w:val="22EE1DAA"/>
    <w:rsid w:val="250F6BA8"/>
    <w:rsid w:val="25A1252E"/>
    <w:rsid w:val="38844555"/>
    <w:rsid w:val="3A65738F"/>
    <w:rsid w:val="45CC3B4D"/>
    <w:rsid w:val="45DF027E"/>
    <w:rsid w:val="4F0B1179"/>
    <w:rsid w:val="691A6279"/>
    <w:rsid w:val="71A93D33"/>
    <w:rsid w:val="7D0D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2020-02-18T08:00:00Z</dcterms:created>
  <dc:creator>玉环育华教育</dc:creator>
  <cp:lastModifiedBy>玉环育华教育</cp:lastModifiedBy>
  <dcterms:modified xsi:type="dcterms:W3CDTF">2020-02-24T06:28:09Z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