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720" w:firstLineChars="300"/>
        <w:rPr>
          <w:rFonts w:ascii="Times New Roman" w:hAnsi="Times New Roman" w:eastAsia="仿宋_GB2312" w:cs="Times New Roman"/>
          <w:bCs/>
          <w:sz w:val="32"/>
        </w:rPr>
      </w:pPr>
      <w:bookmarkStart w:id="0" w:name="_GoBack"/>
      <w:r>
        <w:rPr>
          <w:rFonts w:hint="eastAsia" w:ascii="Times New Roman" w:hAnsi="Times New Roman" w:eastAsia="黑体" w:cs="Times New Roman"/>
          <w:bCs/>
          <w:sz w:val="24"/>
          <w:szCs w:val="24"/>
          <w:u w:val="none"/>
          <w:lang w:val="en-US" w:eastAsia="zh-CN"/>
        </w:rPr>
        <w:t>19级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none"/>
          <w:lang w:val="en-US" w:eastAsia="zh-CN"/>
        </w:rPr>
        <w:t>经典诵读</w:t>
      </w:r>
      <w:r>
        <w:rPr>
          <w:rFonts w:ascii="Times New Roman" w:hAnsi="Times New Roman" w:eastAsia="仿宋_GB2312" w:cs="Times New Roman"/>
          <w:bCs/>
          <w:sz w:val="24"/>
          <w:szCs w:val="24"/>
          <w:u w:val="non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4"/>
          <w:szCs w:val="24"/>
          <w:u w:val="none"/>
          <w:lang w:val="en-US" w:eastAsia="zh-CN"/>
        </w:rPr>
        <w:t>专科复习资料</w:t>
      </w:r>
    </w:p>
    <w:bookmarkEnd w:id="0"/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Cs/>
          <w:color w:val="auto"/>
          <w:sz w:val="24"/>
          <w:szCs w:val="24"/>
          <w:lang w:val="en-US" w:eastAsia="zh-CN"/>
        </w:rPr>
        <w:t>一、填空题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《本草纲目》的作者是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《三字经》中介绍了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母亲为了让儿子有个良好的学习环境，竟然三次搬家。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“三人行，则必有我师”是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>《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</w:rPr>
        <w:t>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里的诗句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《暮江吟》的作者是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tabs>
          <w:tab w:val="left" w:pos="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“锲而不舍，金石可镂”是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的名言。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背上刺有“精忠报国”字样的古代将领是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“书籍是人类进步的阶梯”这句话是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说的。</w:t>
      </w:r>
    </w:p>
    <w:p>
      <w:pPr>
        <w:keepNext w:val="0"/>
        <w:keepLines w:val="0"/>
        <w:pageBreakBefore w:val="0"/>
        <w:tabs>
          <w:tab w:val="left" w:pos="2740"/>
          <w:tab w:val="left" w:pos="5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lang w:val="en-US" w:eastAsia="zh-CN"/>
        </w:rPr>
        <w:t>8、</w:t>
      </w:r>
      <w:r>
        <w:rPr>
          <w:rFonts w:hint="eastAsia" w:asciiTheme="minorEastAsia" w:hAnsiTheme="minorEastAsia" w:cstheme="minorEastAsia"/>
          <w:bCs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，少年富则国富，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，少年独立则国独立，少年自由则国自由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，少年胜于欧洲，则国胜于欧洲，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，则国雄于地球。</w:t>
      </w:r>
    </w:p>
    <w:p>
      <w:pPr>
        <w:keepNext w:val="0"/>
        <w:keepLines w:val="0"/>
        <w:pageBreakBefore w:val="0"/>
        <w:tabs>
          <w:tab w:val="lef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请你列举三个为人类造福的古代神话故事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</w:p>
    <w:p>
      <w:pPr>
        <w:keepNext w:val="0"/>
        <w:keepLines w:val="0"/>
        <w:pageBreakBefore w:val="0"/>
        <w:tabs>
          <w:tab w:val="lef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tabs>
          <w:tab w:val="lef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“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春风又绿江南岸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”，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下一句是什么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11、《游山西村》这首诗写农村一片富足景象和农家朴实好客的句子是“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>              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,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>            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。”不仅反映诗人对前途所抱希望，也说出了世间事物消长变化的哲理性诗句：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>              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,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>                 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tabs>
          <w:tab w:val="lef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bCs/>
          <w:color w:val="auto"/>
          <w:sz w:val="24"/>
          <w:szCs w:val="24"/>
        </w:rPr>
      </w:pPr>
      <w:r>
        <w:rPr>
          <w:rFonts w:hint="eastAsia" w:ascii="黑体" w:hAnsi="黑体" w:eastAsia="黑体" w:cs="黑体"/>
          <w:bCs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黑体" w:hAnsi="黑体" w:eastAsia="黑体" w:cs="黑体"/>
          <w:bCs/>
          <w:color w:val="auto"/>
          <w:sz w:val="24"/>
          <w:szCs w:val="24"/>
        </w:rPr>
        <w:t>单项选择题</w:t>
      </w:r>
    </w:p>
    <w:p>
      <w:pPr>
        <w:keepNext w:val="0"/>
        <w:keepLines w:val="0"/>
        <w:pageBreakBefore w:val="0"/>
        <w:tabs>
          <w:tab w:val="left" w:pos="5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“君子曰：学不可以已”是（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）里诗句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 、师说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B、劝学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C、蜀相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《弟子规》中讲到如果父母有过错，你会怎么做？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常悲咽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谏使更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谨为去</w:t>
      </w:r>
    </w:p>
    <w:p>
      <w:pPr>
        <w:keepNext w:val="0"/>
        <w:keepLines w:val="0"/>
        <w:pageBreakBefore w:val="0"/>
        <w:tabs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“少年强，中国强”是（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）里的诗句</w:t>
      </w:r>
    </w:p>
    <w:p>
      <w:pPr>
        <w:keepNext w:val="0"/>
        <w:keepLines w:val="0"/>
        <w:pageBreakBefore w:val="0"/>
        <w:tabs>
          <w:tab w:val="left" w:pos="4120"/>
          <w:tab w:val="left" w:pos="7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 、陋室铭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B、爱莲说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C、少年中国说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下面的人物中，哪位不是“唐宋八大家”里面的人物？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（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420" w:leftChars="0" w:right="0" w:rightChars="0" w:firstLine="240" w:firstLine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</w:rPr>
        <w:t>韩愈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w w:val="99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  <w:lang w:val="en-US"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李商隐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柳宗元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D.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苏轼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5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《人与宙斯》、《宙斯与乌龟》是哪部名著的故事？（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 xml:space="preserve"> 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A.《安徒生童话》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B.《格林童话》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C.《伊索寓言》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D.《一千零一夜》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6、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对于《天净沙 秋思》的赏析，对这首曲的赏析，不恰当的一项是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 xml:space="preserve">(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)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6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A.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这首曲的题目叫“秋思”，“秋思”的意思是“秋天的思考”。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838" w:leftChars="399" w:right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B.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枯藤”句中的“枯藤”、“老树”是最有特征性的秋景，给人以萧条、寂寞、悲凉的感觉。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838" w:leftChars="399" w:right="0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“小桥”一句读来令人亲切，可仔细想去，却更增添了“断肠人”的愁绪。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7、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下列诗句不是唐代诗人所作的一项是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)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696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w w:val="97"/>
          <w:sz w:val="24"/>
          <w:szCs w:val="24"/>
        </w:rPr>
        <w:t>A. 惟解漫天作飞雪</w:t>
      </w:r>
      <w:r>
        <w:rPr>
          <w:rFonts w:hint="eastAsia" w:asciiTheme="minorEastAsia" w:hAnsiTheme="minorEastAsia" w:eastAsiaTheme="minorEastAsia" w:cstheme="minorEastAsia"/>
          <w:color w:val="auto"/>
          <w:w w:val="97"/>
          <w:sz w:val="24"/>
          <w:szCs w:val="24"/>
          <w:lang w:val="en-US" w:eastAsia="zh-CN"/>
        </w:rPr>
        <w:t xml:space="preserve"> B.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</w:rPr>
        <w:t>闻说鸡鸣见日升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711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</w:rPr>
        <w:t>春蚕到死丝方尽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  <w:lang w:val="en-US" w:eastAsia="zh-CN"/>
        </w:rPr>
        <w:t xml:space="preserve">  D.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</w:rPr>
        <w:t>乌衣巷口夕阳斜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8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读《狗，人，猫，鹰》后说说下列哪个答案是错误的(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 xml:space="preserve">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A．鹰感到害怕，拍拍翅膀飞走了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B．猫纵身一跃，逃进了森林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C．人抓起猎枪，跌跌撞撞逃回了家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D．狗也躲了起来跟熊捉迷藏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 xml:space="preserve">9、“接天莲叶无穷碧，映日荷花别样红。”描写的是（ 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 xml:space="preserve"> ）景色。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A、春天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B、夏天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C、秋天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D、冬天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 xml:space="preserve">0、李白的“飞流直下三千尽，疑是银河落九天”是指哪个风景区？( 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 xml:space="preserve"> )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A、泰山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B、黄山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C、庐山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D、华山</w:t>
      </w:r>
    </w:p>
    <w:p>
      <w:pPr>
        <w:keepNext w:val="0"/>
        <w:keepLines w:val="0"/>
        <w:pageBreakBefore w:val="0"/>
        <w:tabs>
          <w:tab w:val="left" w:pos="4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11、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“少年强，中国强”是（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）里的诗句</w:t>
      </w:r>
    </w:p>
    <w:p>
      <w:pPr>
        <w:keepNext w:val="0"/>
        <w:keepLines w:val="0"/>
        <w:pageBreakBefore w:val="0"/>
        <w:tabs>
          <w:tab w:val="left" w:pos="4120"/>
          <w:tab w:val="left" w:pos="7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 、陋室铭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B、爱莲说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C、少年中国说</w:t>
      </w:r>
    </w:p>
    <w:p>
      <w:pPr>
        <w:keepNext w:val="0"/>
        <w:keepLines w:val="0"/>
        <w:pageBreakBefore w:val="0"/>
        <w:tabs>
          <w:tab w:val="left" w:pos="39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12、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“偷吃人参果”是（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）部小说里的故事。</w:t>
      </w:r>
    </w:p>
    <w:p>
      <w:pPr>
        <w:keepNext w:val="0"/>
        <w:keepLines w:val="0"/>
        <w:pageBreakBefore w:val="0"/>
        <w:tabs>
          <w:tab w:val="left" w:pos="3940"/>
          <w:tab w:val="left" w:pos="7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A、《三国演义》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 、《西游记》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 、《水浒传》</w:t>
      </w:r>
    </w:p>
    <w:p>
      <w:pPr>
        <w:keepNext w:val="0"/>
        <w:keepLines w:val="0"/>
        <w:pageBreakBefore w:val="0"/>
        <w:numPr>
          <w:ilvl w:val="0"/>
          <w:numId w:val="2"/>
        </w:numPr>
        <w:tabs>
          <w:tab w:val="left" w:pos="11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“大道之行也，天下为公，选贤与能，讲信修睦”这句是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11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出自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(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)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  ）</w:t>
      </w:r>
    </w:p>
    <w:p>
      <w:pPr>
        <w:keepNext w:val="0"/>
        <w:keepLines w:val="0"/>
        <w:pageBreakBefore w:val="0"/>
        <w:tabs>
          <w:tab w:val="left" w:pos="4040"/>
          <w:tab w:val="left" w:pos="7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A、《三字经》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B、《礼记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》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C、《爱莲说》</w:t>
      </w:r>
    </w:p>
    <w:p>
      <w:pPr>
        <w:keepNext w:val="0"/>
        <w:keepLines w:val="0"/>
        <w:pageBreakBefore w:val="0"/>
        <w:tabs>
          <w:tab w:val="left" w:pos="7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14、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“天苍苍，野茫茫，风吹草低见牛羊”是（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）里的诗句。</w:t>
      </w:r>
    </w:p>
    <w:p>
      <w:pPr>
        <w:keepNext w:val="0"/>
        <w:keepLines w:val="0"/>
        <w:pageBreakBefore w:val="0"/>
        <w:tabs>
          <w:tab w:val="left" w:pos="4040"/>
          <w:tab w:val="left" w:pos="102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A、《诗经 - 蒹葭》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B、《乐府诗集 - 敕勒歌》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C、《苏武传》</w:t>
      </w:r>
    </w:p>
    <w:p>
      <w:pPr>
        <w:keepNext w:val="0"/>
        <w:keepLines w:val="0"/>
        <w:pageBreakBefore w:val="0"/>
        <w:tabs>
          <w:tab w:val="left" w:pos="9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15、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诗句“每逢佳节倍思亲”中的“佳节”原意是指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: （ B</w:t>
      </w:r>
    </w:p>
    <w:p>
      <w:pPr>
        <w:keepNext w:val="0"/>
        <w:keepLines w:val="0"/>
        <w:pageBreakBefore w:val="0"/>
        <w:tabs>
          <w:tab w:val="left" w:pos="4960"/>
          <w:tab w:val="left" w:pos="5640"/>
          <w:tab w:val="left" w:pos="8160"/>
          <w:tab w:val="left" w:pos="9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元宵节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重阳节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中秋节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D、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端午节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13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16、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“人生自古谁无死，留取丹心照汗青”的作者是（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 ）。</w:t>
      </w:r>
    </w:p>
    <w:p>
      <w:pPr>
        <w:keepNext w:val="0"/>
        <w:keepLines w:val="0"/>
        <w:pageBreakBefore w:val="0"/>
        <w:tabs>
          <w:tab w:val="left" w:pos="6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A、文天祥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B、岳飞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屈原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102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17、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“知识就是力量”是英国（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）著名的哲学家、思想家的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发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培根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B、居里夫人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C、达尔文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D、牛顿</w:t>
      </w:r>
    </w:p>
    <w:p>
      <w:pPr>
        <w:keepNext w:val="0"/>
        <w:keepLines w:val="0"/>
        <w:pageBreakBefore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18、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床前明月光”是李白的千古名句，其中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“床”指的是什么？  (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)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13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A、窗户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B、卧具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C、井上的围栏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19、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成为世界上描写人物最多的小说是（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《三国演义  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 B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《水浒传》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C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《红楼梦》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20、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 xml:space="preserve">“玉不打磨雕刻，不会成为精美的器物；人若是不学习，就不懂得礼仪，不能成才”是（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）句诗意思。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rightChars="0"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A、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子不学，非所宜，幼不学，老何为？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rightChars="0"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B 、玉不琢，不成器，人不学，不知义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21、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穷则独善其身，达则兼济天下”历来是中国文人的理想，这句话出自( )。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《论语》 B、《庄子》 C、《孟子》 D、《大学》 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22、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我国古代的很多事物都有自己的雅称，请问我们常说的“润笔”指的是( 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文章书画稿费 B、替人研磨墨汁 C、为人作序 D、清洗毛笔  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23、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“拱手而立”表示对长者的尊敬，一般来说，男子行拱手礼时应该( 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 )。 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A、左手在外 B、右手在外 C、双手交叉 D、左手在上“床前明月光”是李白的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24、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千古名句，其中“床”指的是( 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 )。  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A、窗户 B、卧具 C、井上的围栏 D、门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25、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“爆竹声中一岁除，春风送暖入屠苏”，这里的“屠苏”指的是( 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 )。 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0" w:lineRule="atLeas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A、苏州 B、房屋 C、酒 D、庄稼 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right="0" w:rightChars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判断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1、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卓歌也做棹歌，指农夫的歌。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2、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待到重阳日，还来就菊花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的意思是等到九月重阳节的那一天，我还要再来品尝美酒，观赏菊花。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3、《鹿和狮子》一文中鹿是应为自己的腿而死于非命。（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4、《宙斯和乌龟》一文中，乌龟没有来参加宙斯的婚礼。（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5、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杨花榆荚无才思”中的“杨花”指柳絮。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6、《渔夫与小梭鱼》中，渔夫把小梭鱼放回到海里。（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7、《被狗咬的人》中，被狗咬伤的人用面包擦干伤口上的血，再扔给咬他的狗吃。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8、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最喜小儿无赖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中的“无赖”指顽皮、可爱。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9、《赫耳墨斯与手艺人》中，手艺人都说谎，特别是皮匠更为厉害。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                                    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  <w:t>10、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世人若被明月类”中的“累”意思是带累，使伤害。（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 xml:space="preserve">.“感时花溅泪，恨别鸟惊心。”这句诗通过景物描写，借景生情，移情于物。表现了诗人忧伤国事，思念家人的深沉感情。（     ） 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．《论语》是记录孔子言行的著作，相传为孔子所著。（       ） 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240" w:lineRule="auto"/>
        <w:ind w:left="0" w:right="0" w:firstLine="42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lang w:val="en-US" w:eastAsia="zh-CN"/>
        </w:rPr>
        <w:t>．《卜算子.咏梅》是毛泽东读陆游同题词，反其意而作。（      ）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default" w:ascii="Arial" w:hAnsi="Arial" w:cs="Arial"/>
          <w:i w:val="0"/>
          <w:caps w:val="0"/>
          <w:color w:val="333333"/>
          <w:spacing w:val="0"/>
          <w:sz w:val="24"/>
          <w:szCs w:val="24"/>
        </w:rPr>
        <w:t>四、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片段训练。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《论语》片段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</w:rPr>
        <w:t>子夏问曰：“巧笑倩兮，美目盼兮，素以为绚兮，何谓也？”子曰：“绘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事后素。”曰：“礼后乎？”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子曰：“起予者商也，始可与言《诗》已矣。”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w w:val="98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w w:val="98"/>
          <w:sz w:val="24"/>
          <w:szCs w:val="24"/>
        </w:rPr>
        <w:t>子曰：“</w:t>
      </w:r>
      <w:r>
        <w:rPr>
          <w:rFonts w:hint="eastAsia" w:asciiTheme="minorEastAsia" w:hAnsiTheme="minorEastAsia" w:cstheme="minorEastAsia"/>
          <w:color w:val="auto"/>
          <w:w w:val="98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Theme="minorEastAsia" w:hAnsiTheme="minorEastAsia" w:cstheme="minorEastAsia"/>
          <w:color w:val="auto"/>
          <w:w w:val="98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w w:val="98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子曰：“君子欲讷于言而敏于行。”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子贡问曰：“孔文子，何以谓之文也？”子曰：“敏而好学，不耻下问，是以谓之文也。”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子曰：“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填好片段的空白地方。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孔子名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字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时期鲁国人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是我国古代伟大的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家、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3.《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论语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是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家学派经典著作之一，内容是记录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及其门徒的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，与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none"/>
          <w:lang w:val="en-US" w:eastAsia="zh-CN"/>
        </w:rPr>
        <w:t>合称“四书”。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在我们日常生活中，不要认为向地位比自己低、学识比自己差的人请教是可耻的行为，这就叫做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孔子还教育我们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学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要与思考相辅相成。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Chars="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4"/>
          <w:szCs w:val="24"/>
          <w:u w:val="none"/>
          <w:lang w:val="en-US" w:eastAsia="zh-CN"/>
        </w:rPr>
        <w:t>经典诵读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参考答案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黑体" w:hAnsi="黑体" w:eastAsia="黑体" w:cs="黑体"/>
          <w:bCs/>
          <w:color w:val="auto"/>
          <w:sz w:val="21"/>
          <w:szCs w:val="21"/>
        </w:rPr>
      </w:pPr>
      <w:r>
        <w:rPr>
          <w:rFonts w:hint="eastAsia" w:ascii="黑体" w:hAnsi="黑体" w:eastAsia="黑体" w:cs="黑体"/>
          <w:bCs/>
          <w:color w:val="auto"/>
          <w:sz w:val="21"/>
          <w:szCs w:val="21"/>
          <w:lang w:val="en-US" w:eastAsia="zh-CN"/>
        </w:rPr>
        <w:t>一、填空题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1"/>
          <w:szCs w:val="21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1"/>
          <w:szCs w:val="21"/>
          <w:lang w:val="en-US" w:eastAsia="zh-CN"/>
        </w:rPr>
        <w:t>2、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1"/>
          <w:szCs w:val="21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师说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1"/>
          <w:szCs w:val="21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白居易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1"/>
          <w:szCs w:val="21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荀子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岳飞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高尔基</w:t>
      </w:r>
    </w:p>
    <w:p>
      <w:pPr>
        <w:keepNext w:val="0"/>
        <w:keepLines w:val="0"/>
        <w:pageBreakBefore w:val="0"/>
        <w:tabs>
          <w:tab w:val="left" w:pos="2740"/>
          <w:tab w:val="left" w:pos="5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1"/>
          <w:szCs w:val="21"/>
          <w:lang w:val="en-US" w:eastAsia="zh-CN"/>
        </w:rPr>
        <w:t>8、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少年智则国智，少年强则国强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，（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少年进步则国进步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少年雄于地球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tabs>
          <w:tab w:val="lef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女娲补天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）、（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后羿射日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）、（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精卫填海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10、“（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明月何时照我还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）。</w:t>
      </w:r>
    </w:p>
    <w:p>
      <w:pPr>
        <w:keepNext w:val="0"/>
        <w:keepLines w:val="0"/>
        <w:pageBreakBefore w:val="0"/>
        <w:tabs>
          <w:tab w:val="lef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.莫笑农家腊酒浑    丰年留客足鸡豚   山重水复疑无路   柳暗花明又一村</w:t>
      </w:r>
    </w:p>
    <w:p>
      <w:pPr>
        <w:keepNext w:val="0"/>
        <w:keepLines w:val="0"/>
        <w:pageBreakBefore w:val="0"/>
        <w:tabs>
          <w:tab w:val="left" w:pos="8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textAlignment w:val="auto"/>
        <w:rPr>
          <w:rFonts w:hint="eastAsia" w:ascii="黑体" w:hAnsi="黑体" w:eastAsia="黑体" w:cs="黑体"/>
          <w:bCs/>
          <w:color w:val="auto"/>
          <w:sz w:val="21"/>
          <w:szCs w:val="21"/>
        </w:rPr>
      </w:pPr>
      <w:r>
        <w:rPr>
          <w:rFonts w:hint="eastAsia" w:ascii="黑体" w:hAnsi="黑体" w:eastAsia="黑体" w:cs="黑体"/>
          <w:bCs/>
          <w:color w:val="auto"/>
          <w:sz w:val="21"/>
          <w:szCs w:val="21"/>
          <w:lang w:val="en-US" w:eastAsia="zh-CN"/>
        </w:rPr>
        <w:t>二、</w:t>
      </w:r>
      <w:r>
        <w:rPr>
          <w:rFonts w:hint="eastAsia" w:ascii="黑体" w:hAnsi="黑体" w:eastAsia="黑体" w:cs="黑体"/>
          <w:bCs/>
          <w:color w:val="auto"/>
          <w:sz w:val="21"/>
          <w:szCs w:val="21"/>
        </w:rPr>
        <w:t>单项选择题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 xml:space="preserve">B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2.B  3.C  4.B  5.C  6.A  7.B  8.    9.   10.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11.C 12.B  13.B 14.B 15.B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16、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 xml:space="preserve">A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17.A  18.    19.    20.    21.C .A A C C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2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</w:pP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判断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20" w:lineRule="exact"/>
        <w:ind w:right="0"/>
        <w:textAlignment w:val="auto"/>
        <w:rPr>
          <w:rFonts w:hint="default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1、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>2.   3.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×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√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5.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√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6.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×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7.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×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8. 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√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9.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√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10.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√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11.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√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×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lang w:val="en-US" w:eastAsia="zh-CN"/>
        </w:rPr>
        <w:t xml:space="preserve"> 13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</w:rPr>
        <w:t>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20" w:lineRule="exact"/>
        <w:ind w:right="0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default" w:ascii="Arial" w:hAnsi="Arial" w:cs="Arial"/>
          <w:i w:val="0"/>
          <w:caps w:val="0"/>
          <w:color w:val="333333"/>
          <w:spacing w:val="0"/>
          <w:sz w:val="21"/>
          <w:szCs w:val="21"/>
        </w:rPr>
        <w:t>四、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片段训练。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21"/>
          <w:szCs w:val="21"/>
        </w:rPr>
        <w:t>见贤思齐焉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；</w:t>
      </w:r>
      <w:r>
        <w:rPr>
          <w:rFonts w:ascii="宋体" w:hAnsi="宋体" w:eastAsia="宋体" w:cs="宋体"/>
          <w:color w:val="auto"/>
          <w:sz w:val="21"/>
          <w:szCs w:val="21"/>
        </w:rPr>
        <w:t>见不贤而内自省也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2.</w:t>
      </w:r>
      <w:r>
        <w:rPr>
          <w:rFonts w:ascii="宋体" w:hAnsi="宋体" w:eastAsia="宋体" w:cs="宋体"/>
          <w:color w:val="auto"/>
          <w:sz w:val="21"/>
          <w:szCs w:val="21"/>
        </w:rPr>
        <w:t>知之者不如好之者，好之者不如乐之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21"/>
          <w:szCs w:val="21"/>
        </w:rPr>
        <w:t>丘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，</w:t>
      </w:r>
      <w:r>
        <w:rPr>
          <w:rFonts w:ascii="宋体" w:hAnsi="宋体" w:eastAsia="宋体" w:cs="宋体"/>
          <w:color w:val="auto"/>
          <w:sz w:val="21"/>
          <w:szCs w:val="21"/>
        </w:rPr>
        <w:t>仲尼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，</w:t>
      </w:r>
      <w:r>
        <w:rPr>
          <w:rFonts w:ascii="宋体" w:hAnsi="宋体" w:eastAsia="宋体" w:cs="宋体"/>
          <w:color w:val="auto"/>
          <w:sz w:val="21"/>
          <w:szCs w:val="21"/>
        </w:rPr>
        <w:t>春秋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, </w:t>
      </w:r>
      <w:r>
        <w:rPr>
          <w:rFonts w:ascii="宋体" w:hAnsi="宋体" w:eastAsia="宋体" w:cs="宋体"/>
          <w:color w:val="auto"/>
          <w:sz w:val="21"/>
          <w:szCs w:val="21"/>
        </w:rPr>
        <w:t>思想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>家、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u w:val="single"/>
          <w:lang w:val="en-US" w:eastAsia="zh-CN"/>
        </w:rPr>
        <w:t>教育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>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cstheme="minorEastAsia"/>
          <w:color w:val="auto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>3.</w:t>
      </w:r>
      <w:r>
        <w:rPr>
          <w:rFonts w:hint="eastAsia" w:asciiTheme="minorEastAsia" w:hAnsiTheme="minorEastAsia" w:cstheme="minorEastAsia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ascii="宋体" w:hAnsi="宋体" w:eastAsia="宋体" w:cs="宋体"/>
          <w:color w:val="auto"/>
          <w:sz w:val="21"/>
          <w:szCs w:val="21"/>
        </w:rPr>
        <w:t>儒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 xml:space="preserve"> </w:t>
      </w:r>
      <w:r>
        <w:rPr>
          <w:rFonts w:ascii="宋体" w:hAnsi="宋体" w:eastAsia="宋体" w:cs="宋体"/>
          <w:color w:val="auto"/>
          <w:sz w:val="21"/>
          <w:szCs w:val="21"/>
        </w:rPr>
        <w:t>孔子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21"/>
          <w:szCs w:val="21"/>
        </w:rPr>
        <w:t>言行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,《</w:t>
      </w:r>
      <w:r>
        <w:rPr>
          <w:rFonts w:ascii="宋体" w:hAnsi="宋体" w:eastAsia="宋体" w:cs="宋体"/>
          <w:color w:val="auto"/>
          <w:sz w:val="21"/>
          <w:szCs w:val="21"/>
        </w:rPr>
        <w:t>大学》</w:t>
      </w:r>
      <w:r>
        <w:rPr>
          <w:rFonts w:ascii="宋体" w:hAnsi="宋体" w:eastAsia="宋体" w:cs="宋体"/>
          <w:color w:val="auto"/>
          <w:sz w:val="21"/>
          <w:szCs w:val="21"/>
        </w:rPr>
        <w:tab/>
      </w:r>
      <w:r>
        <w:rPr>
          <w:rFonts w:ascii="宋体" w:hAnsi="宋体" w:eastAsia="宋体" w:cs="宋体"/>
          <w:color w:val="auto"/>
          <w:sz w:val="21"/>
          <w:szCs w:val="21"/>
        </w:rPr>
        <w:t>《中庸》</w:t>
      </w:r>
      <w:r>
        <w:rPr>
          <w:color w:val="auto"/>
          <w:sz w:val="21"/>
          <w:szCs w:val="21"/>
        </w:rPr>
        <w:tab/>
      </w:r>
      <w:r>
        <w:rPr>
          <w:rFonts w:ascii="宋体" w:hAnsi="宋体" w:eastAsia="宋体" w:cs="宋体"/>
          <w:color w:val="auto"/>
          <w:sz w:val="21"/>
          <w:szCs w:val="21"/>
        </w:rPr>
        <w:t>《孟子》</w:t>
      </w:r>
    </w:p>
    <w:p>
      <w:pPr>
        <w:numPr>
          <w:ilvl w:val="0"/>
          <w:numId w:val="0"/>
        </w:numPr>
        <w:tabs>
          <w:tab w:val="left" w:pos="2820"/>
        </w:tabs>
        <w:spacing w:after="0" w:line="437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>4.</w:t>
      </w:r>
      <w:r>
        <w:rPr>
          <w:rFonts w:ascii="宋体" w:hAnsi="宋体" w:eastAsia="宋体" w:cs="宋体"/>
          <w:color w:val="auto"/>
          <w:sz w:val="21"/>
          <w:szCs w:val="21"/>
        </w:rPr>
        <w:t>敏而好学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>，</w:t>
      </w:r>
      <w:r>
        <w:rPr>
          <w:rFonts w:ascii="宋体" w:hAnsi="宋体" w:eastAsia="宋体" w:cs="宋体"/>
          <w:color w:val="auto"/>
          <w:sz w:val="21"/>
          <w:szCs w:val="21"/>
        </w:rPr>
        <w:t>不耻下问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</w:pPr>
      <w:r>
        <w:rPr>
          <w:rFonts w:ascii="宋体" w:hAnsi="宋体" w:eastAsia="宋体" w:cs="宋体"/>
          <w:color w:val="auto"/>
          <w:sz w:val="21"/>
          <w:szCs w:val="21"/>
        </w:rPr>
        <w:t>学而不思则罔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，</w:t>
      </w:r>
      <w:r>
        <w:rPr>
          <w:rFonts w:ascii="宋体" w:hAnsi="宋体" w:eastAsia="宋体" w:cs="宋体"/>
          <w:color w:val="auto"/>
          <w:sz w:val="21"/>
          <w:szCs w:val="21"/>
        </w:rPr>
        <w:t>思而不学则殆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612"/>
    <w:multiLevelType w:val="singleLevel"/>
    <w:tmpl w:val="00532612"/>
    <w:lvl w:ilvl="0" w:tentative="0">
      <w:start w:val="13"/>
      <w:numFmt w:val="decimal"/>
      <w:suff w:val="nothing"/>
      <w:lvlText w:val="%1、"/>
      <w:lvlJc w:val="left"/>
    </w:lvl>
  </w:abstractNum>
  <w:abstractNum w:abstractNumId="1">
    <w:nsid w:val="3EDCB41C"/>
    <w:multiLevelType w:val="singleLevel"/>
    <w:tmpl w:val="3EDCB41C"/>
    <w:lvl w:ilvl="0" w:tentative="0">
      <w:start w:val="10"/>
      <w:numFmt w:val="decimal"/>
      <w:suff w:val="nothing"/>
      <w:lvlText w:val="%1、"/>
      <w:lvlJc w:val="left"/>
    </w:lvl>
  </w:abstractNum>
  <w:abstractNum w:abstractNumId="2">
    <w:nsid w:val="45432F6C"/>
    <w:multiLevelType w:val="singleLevel"/>
    <w:tmpl w:val="45432F6C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0A801A5"/>
    <w:multiLevelType w:val="singleLevel"/>
    <w:tmpl w:val="50A801A5"/>
    <w:lvl w:ilvl="0" w:tentative="0">
      <w:start w:val="1"/>
      <w:numFmt w:val="upperLetter"/>
      <w:suff w:val="nothing"/>
      <w:lvlText w:val="%1、"/>
      <w:lvlJc w:val="left"/>
    </w:lvl>
  </w:abstractNum>
  <w:abstractNum w:abstractNumId="4">
    <w:nsid w:val="5326A87C"/>
    <w:multiLevelType w:val="singleLevel"/>
    <w:tmpl w:val="5326A87C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E4D37"/>
    <w:rsid w:val="06B455E0"/>
    <w:rsid w:val="07100220"/>
    <w:rsid w:val="08BC3540"/>
    <w:rsid w:val="095800A4"/>
    <w:rsid w:val="0C3F615C"/>
    <w:rsid w:val="0CF54878"/>
    <w:rsid w:val="0D616B3C"/>
    <w:rsid w:val="0E384832"/>
    <w:rsid w:val="0E646C25"/>
    <w:rsid w:val="0EC512FA"/>
    <w:rsid w:val="0F5D26D3"/>
    <w:rsid w:val="0F9074CC"/>
    <w:rsid w:val="10E060A1"/>
    <w:rsid w:val="11282B5D"/>
    <w:rsid w:val="12AE7E99"/>
    <w:rsid w:val="14216201"/>
    <w:rsid w:val="14B6606C"/>
    <w:rsid w:val="152E69A4"/>
    <w:rsid w:val="164A1DBE"/>
    <w:rsid w:val="1A1B5E4E"/>
    <w:rsid w:val="1DC86C41"/>
    <w:rsid w:val="1E1D3809"/>
    <w:rsid w:val="1F07418C"/>
    <w:rsid w:val="22D37A8F"/>
    <w:rsid w:val="24082229"/>
    <w:rsid w:val="24373C0B"/>
    <w:rsid w:val="24AB6342"/>
    <w:rsid w:val="2540433B"/>
    <w:rsid w:val="27A957F2"/>
    <w:rsid w:val="284D68F0"/>
    <w:rsid w:val="295301CE"/>
    <w:rsid w:val="2BAB1AF9"/>
    <w:rsid w:val="2BE5263C"/>
    <w:rsid w:val="2BE73791"/>
    <w:rsid w:val="2C6872FB"/>
    <w:rsid w:val="336E23BE"/>
    <w:rsid w:val="33786532"/>
    <w:rsid w:val="33A81458"/>
    <w:rsid w:val="347F246C"/>
    <w:rsid w:val="35A81CA2"/>
    <w:rsid w:val="36FA6F19"/>
    <w:rsid w:val="37DF1DC6"/>
    <w:rsid w:val="38A12118"/>
    <w:rsid w:val="39426AF0"/>
    <w:rsid w:val="3C380EF6"/>
    <w:rsid w:val="3DB24077"/>
    <w:rsid w:val="3DB973EF"/>
    <w:rsid w:val="3F4450B4"/>
    <w:rsid w:val="4143017F"/>
    <w:rsid w:val="418F0864"/>
    <w:rsid w:val="42D57173"/>
    <w:rsid w:val="4327627A"/>
    <w:rsid w:val="43EA6C1F"/>
    <w:rsid w:val="45EC4F2B"/>
    <w:rsid w:val="46F17405"/>
    <w:rsid w:val="49D11D2D"/>
    <w:rsid w:val="4E941EE3"/>
    <w:rsid w:val="4EC65CDB"/>
    <w:rsid w:val="4FD43112"/>
    <w:rsid w:val="50633092"/>
    <w:rsid w:val="513A54D9"/>
    <w:rsid w:val="523A1FCB"/>
    <w:rsid w:val="54C737C9"/>
    <w:rsid w:val="559E4D37"/>
    <w:rsid w:val="5878173C"/>
    <w:rsid w:val="58A01B22"/>
    <w:rsid w:val="5DBB1DD3"/>
    <w:rsid w:val="5FBB4669"/>
    <w:rsid w:val="605A57A7"/>
    <w:rsid w:val="6794019C"/>
    <w:rsid w:val="679D179A"/>
    <w:rsid w:val="686D73E2"/>
    <w:rsid w:val="694B5DDA"/>
    <w:rsid w:val="6A5E02AA"/>
    <w:rsid w:val="6E971489"/>
    <w:rsid w:val="6EB67427"/>
    <w:rsid w:val="6F3B10B5"/>
    <w:rsid w:val="6F4A123D"/>
    <w:rsid w:val="6F814149"/>
    <w:rsid w:val="71630C2E"/>
    <w:rsid w:val="71A45ABD"/>
    <w:rsid w:val="75B4035B"/>
    <w:rsid w:val="78372281"/>
    <w:rsid w:val="79DE264C"/>
    <w:rsid w:val="7B776DC7"/>
    <w:rsid w:val="7D291C8C"/>
    <w:rsid w:val="7E0F4CCE"/>
    <w:rsid w:val="7E2675E7"/>
    <w:rsid w:val="7EA73A6F"/>
    <w:rsid w:val="7ED04A06"/>
    <w:rsid w:val="7F0C1A9F"/>
    <w:rsid w:val="7F48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2019-11-23T01:49:00Z</dcterms:created>
  <dc:creator>玉环育华教育</dc:creator>
  <cp:lastModifiedBy>育华钟老师学历提升</cp:lastModifiedBy>
  <dcterms:modified xsi:type="dcterms:W3CDTF">2019-12-10T02:34:29Z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