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leftChars="0" w:right="-512" w:rightChars="-244" w:hanging="422" w:hangingChars="175"/>
        <w:jc w:val="both"/>
        <w:textAlignment w:val="auto"/>
        <w:rPr>
          <w:rFonts w:ascii="新宋体" w:hAnsi="新宋体" w:eastAsia="新宋体"/>
          <w:szCs w:val="21"/>
        </w:rPr>
      </w:pPr>
      <w:r>
        <w:rPr>
          <w:rFonts w:hint="eastAsia" w:eastAsia="宋体" w:cs="宋体"/>
          <w:b/>
          <w:bCs/>
          <w:color w:val="000000"/>
          <w:sz w:val="24"/>
          <w:szCs w:val="24"/>
          <w:u w:val="single"/>
          <w:lang w:val="en-US" w:eastAsia="zh-CN"/>
        </w:rPr>
        <w:t>中国古代文学</w:t>
      </w:r>
      <w:r>
        <w:rPr>
          <w:color w:val="00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91440</wp:posOffset>
                </wp:positionV>
                <wp:extent cx="205740" cy="8374380"/>
                <wp:effectExtent l="4445" t="4445" r="18415" b="2222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837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2310" w:firstLineChars="1100"/>
                            </w:pPr>
                            <w:r>
                              <w:drawing>
                                <wp:inline distT="0" distB="0" distL="114300" distR="114300">
                                  <wp:extent cx="13335" cy="8274050"/>
                                  <wp:effectExtent l="0" t="0" r="5715" b="1270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35" cy="827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6.4pt;margin-top:7.2pt;height:659.4pt;width:16.2pt;z-index:251659264;mso-width-relative:page;mso-height-relative:page;" fillcolor="#FFFFFF" filled="t" stroked="t" coordsize="21600,21600" o:gfxdata="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TNgnj2wAAAA0BAAAPAAAAAAAAAAEAIAAAACIAAABkcnMvZG93&#10;bnJldi54bWxQSwECFAAUAAAACACHTuJAG58wbP0BAAAFBAAADgAAAAAAAAABACAAAAAqAQAAZHJz&#10;L2Uyb0RvYy54bWxQSwUGAAAAAAYABgBZAQAAmQUAAAAA&#10;">
                <v:fill on="t" focussize="0,0"/>
                <v:stroke color="#FFFFFF" joinstyle="miter"/>
                <v:imagedata o:title=""/>
                <o:lock v:ext="edit" aspectratio="f"/>
                <v:textbox style="layout-flow:vertical;mso-layout-flow-alt:bottom-to-top;">
                  <w:txbxContent>
                    <w:p>
                      <w:pPr>
                        <w:ind w:firstLine="2310" w:firstLineChars="1100"/>
                      </w:pPr>
                      <w:r>
                        <w:drawing>
                          <wp:inline distT="0" distB="0" distL="114300" distR="114300">
                            <wp:extent cx="13335" cy="8274050"/>
                            <wp:effectExtent l="0" t="0" r="5715" b="1270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35" cy="827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91440</wp:posOffset>
                </wp:positionV>
                <wp:extent cx="205740" cy="8374380"/>
                <wp:effectExtent l="4445" t="4445" r="18415" b="222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837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2310" w:firstLineChars="1100"/>
                            </w:pPr>
                            <w:r>
                              <w:drawing>
                                <wp:inline distT="0" distB="0" distL="114300" distR="114300">
                                  <wp:extent cx="13335" cy="8274050"/>
                                  <wp:effectExtent l="0" t="0" r="5715" b="12700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35" cy="827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6.4pt;margin-top:7.2pt;height:659.4pt;width:16.2pt;z-index:251658240;mso-width-relative:page;mso-height-relative:page;" fillcolor="#FFFFFF" filled="t" stroked="t" coordsize="21600,21600" o:gfxdata="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TNgnj2wAAAA0BAAAPAAAAAAAAAAEAIAAAACIAAABkcnMvZG93&#10;bnJldi54bWxQSwECFAAUAAAACACHTuJAZ1BT6v0BAAAFBAAADgAAAAAAAAABACAAAAAqAQAAZHJz&#10;L2Uyb0RvYy54bWxQSwUGAAAAAAYABgBZAQAAmQUAAAAA&#10;">
                <v:fill on="t" focussize="0,0"/>
                <v:stroke color="#FFFFFF" joinstyle="miter"/>
                <v:imagedata o:title=""/>
                <o:lock v:ext="edit" aspectratio="f"/>
                <v:textbox style="layout-flow:vertical;mso-layout-flow-alt:bottom-to-top;">
                  <w:txbxContent>
                    <w:p>
                      <w:pPr>
                        <w:ind w:firstLine="2310" w:firstLineChars="1100"/>
                      </w:pPr>
                      <w:r>
                        <w:drawing>
                          <wp:inline distT="0" distB="0" distL="114300" distR="114300">
                            <wp:extent cx="13335" cy="8274050"/>
                            <wp:effectExtent l="0" t="0" r="5715" b="12700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35" cy="827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 w:cs="宋体"/>
          <w:b/>
          <w:bCs/>
          <w:color w:val="000000"/>
          <w:sz w:val="24"/>
          <w:szCs w:val="24"/>
          <w:u w:val="single"/>
          <w:lang w:val="en-US" w:eastAsia="zh-CN"/>
        </w:rPr>
        <w:t>复习资料</w:t>
      </w:r>
    </w:p>
    <w:p>
      <w:pPr>
        <w:spacing w:line="400" w:lineRule="atLeast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 w:cs="宋体"/>
          <w:b/>
          <w:sz w:val="24"/>
        </w:rPr>
        <w:t>一、选择题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>
        <w:rPr>
          <w:sz w:val="21"/>
          <w:szCs w:val="21"/>
        </w:rPr>
        <w:t>．王充名作《论衡》的基本精神是</w:t>
      </w:r>
      <w:r>
        <w:rPr>
          <w:rFonts w:hint="eastAsia"/>
          <w:sz w:val="21"/>
          <w:szCs w:val="21"/>
          <w:lang w:eastAsia="zh-CN"/>
        </w:rPr>
        <w:t>(     )</w:t>
      </w:r>
      <w:r>
        <w:rPr>
          <w:sz w:val="21"/>
          <w:szCs w:val="21"/>
        </w:rPr>
        <w:t>。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A、重农务本     B、独尊儒术     C、大一统     D、疾虚妄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rFonts w:hint="eastAsia"/>
          <w:sz w:val="21"/>
          <w:szCs w:val="21"/>
        </w:rPr>
        <w:t>2</w:t>
      </w:r>
      <w:r>
        <w:rPr>
          <w:sz w:val="21"/>
          <w:szCs w:val="21"/>
        </w:rPr>
        <w:t>．刘熙载《艺概》论其“虽气味已是东京，然尔雅温厚”的作品是</w:t>
      </w:r>
      <w:r>
        <w:rPr>
          <w:rFonts w:hint="eastAsia"/>
          <w:sz w:val="21"/>
          <w:szCs w:val="21"/>
          <w:lang w:eastAsia="zh-CN"/>
        </w:rPr>
        <w:t>(     )</w:t>
      </w:r>
      <w:r>
        <w:rPr>
          <w:sz w:val="21"/>
          <w:szCs w:val="21"/>
        </w:rPr>
        <w:t>。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A、《汉书》    B、《论衡》    C、《潜夫论》    D、《新书》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>
        <w:rPr>
          <w:sz w:val="21"/>
          <w:szCs w:val="21"/>
        </w:rPr>
        <w:t>．“感于哀乐，缘事而发”是对</w:t>
      </w:r>
      <w:r>
        <w:rPr>
          <w:rFonts w:hint="eastAsia"/>
          <w:sz w:val="21"/>
          <w:szCs w:val="21"/>
          <w:lang w:eastAsia="zh-CN"/>
        </w:rPr>
        <w:t>(     )</w:t>
      </w:r>
      <w:r>
        <w:rPr>
          <w:sz w:val="21"/>
          <w:szCs w:val="21"/>
        </w:rPr>
        <w:t>的基本精神的评价。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A、楚辞    B、《史记》    C、汉赋    D、汉乐府</w:t>
      </w:r>
    </w:p>
    <w:p>
      <w:pPr>
        <w:pStyle w:val="4"/>
        <w:spacing w:before="0" w:after="0" w:line="400" w:lineRule="atLeast"/>
        <w:ind w:left="0"/>
        <w:outlineLvl w:val="0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4.</w:t>
      </w:r>
      <w:r>
        <w:rPr>
          <w:sz w:val="21"/>
          <w:szCs w:val="21"/>
        </w:rPr>
        <w:t>下列作品中内容不属于同一类别的是</w:t>
      </w:r>
      <w:r>
        <w:rPr>
          <w:rFonts w:hint="eastAsia"/>
          <w:sz w:val="21"/>
          <w:szCs w:val="21"/>
          <w:lang w:eastAsia="zh-CN"/>
        </w:rPr>
        <w:t>(     )</w:t>
      </w:r>
      <w:r>
        <w:rPr>
          <w:sz w:val="21"/>
          <w:szCs w:val="21"/>
        </w:rPr>
        <w:t>。</w:t>
      </w:r>
    </w:p>
    <w:p>
      <w:pPr>
        <w:pStyle w:val="4"/>
        <w:spacing w:before="0" w:after="0" w:line="400" w:lineRule="atLeast"/>
        <w:ind w:left="0"/>
        <w:outlineLvl w:val="0"/>
        <w:rPr>
          <w:sz w:val="21"/>
          <w:szCs w:val="21"/>
        </w:rPr>
      </w:pPr>
      <w:r>
        <w:rPr>
          <w:sz w:val="21"/>
          <w:szCs w:val="21"/>
        </w:rPr>
        <w:t>A、《听颖师弹琴》  B、《李凭</w:t>
      </w:r>
      <w:r>
        <w:fldChar w:fldCharType="begin"/>
      </w:r>
      <w:r>
        <w:instrText xml:space="preserve"> HYPERLINK "http://www.sogou.com/sogoupedia?query=%F3%ED" </w:instrText>
      </w:r>
      <w:r>
        <w:fldChar w:fldCharType="separate"/>
      </w:r>
      <w:r>
        <w:rPr>
          <w:rStyle w:val="6"/>
          <w:sz w:val="21"/>
          <w:szCs w:val="21"/>
        </w:rPr>
        <w:t>箜</w:t>
      </w:r>
      <w:r>
        <w:rPr>
          <w:rStyle w:val="6"/>
          <w:sz w:val="21"/>
          <w:szCs w:val="21"/>
        </w:rPr>
        <w:fldChar w:fldCharType="end"/>
      </w:r>
      <w:r>
        <w:rPr>
          <w:sz w:val="21"/>
          <w:szCs w:val="21"/>
        </w:rPr>
        <w:t>篌引》  C、《子夜吴歌》 D、《琵琶行》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5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下列表述中不符合李白诗歌特点的有</w:t>
      </w:r>
      <w:r>
        <w:rPr>
          <w:rFonts w:hint="eastAsia"/>
          <w:sz w:val="21"/>
          <w:szCs w:val="21"/>
          <w:lang w:eastAsia="zh-CN"/>
        </w:rPr>
        <w:t>(     )</w:t>
      </w:r>
      <w:r>
        <w:rPr>
          <w:sz w:val="21"/>
          <w:szCs w:val="21"/>
        </w:rPr>
        <w:t>。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A、常对客观物象和具体事件作细致的描述。  B、喷发式的抒情方式。</w:t>
      </w:r>
    </w:p>
    <w:p>
      <w:pPr>
        <w:pStyle w:val="4"/>
        <w:spacing w:before="0" w:after="0" w:line="400" w:lineRule="atLeast"/>
        <w:ind w:left="0"/>
        <w:rPr>
          <w:sz w:val="21"/>
          <w:szCs w:val="21"/>
        </w:rPr>
      </w:pPr>
      <w:r>
        <w:rPr>
          <w:sz w:val="21"/>
          <w:szCs w:val="21"/>
        </w:rPr>
        <w:t>C、诗歌中写得最多的是白色。    D、壮美与优美并存。</w:t>
      </w:r>
    </w:p>
    <w:p>
      <w:pPr>
        <w:rPr>
          <w:rFonts w:ascii="宋体" w:hAnsi="宋体"/>
          <w:szCs w:val="21"/>
        </w:rPr>
      </w:pPr>
    </w:p>
    <w:p>
      <w:pPr>
        <w:spacing w:line="400" w:lineRule="atLeast"/>
        <w:jc w:val="left"/>
        <w:rPr>
          <w:rFonts w:ascii="黑体" w:hAnsi="黑体" w:eastAsia="黑体" w:cs="宋体"/>
          <w:b/>
          <w:sz w:val="24"/>
        </w:rPr>
      </w:pPr>
      <w:r>
        <w:rPr>
          <w:rFonts w:hint="eastAsia" w:ascii="黑体" w:hAnsi="黑体" w:eastAsia="黑体" w:cs="宋体"/>
          <w:b/>
          <w:sz w:val="24"/>
        </w:rPr>
        <w:t>二、填空题</w:t>
      </w:r>
    </w:p>
    <w:p>
      <w:pPr>
        <w:pStyle w:val="4"/>
        <w:spacing w:before="0" w:after="0" w:line="200" w:lineRule="atLeast"/>
        <w:ind w:left="0"/>
        <w:outlineLvl w:val="0"/>
        <w:rPr>
          <w:sz w:val="21"/>
          <w:szCs w:val="21"/>
        </w:rPr>
      </w:pPr>
      <w:r>
        <w:rPr>
          <w:rFonts w:hint="eastAsia"/>
          <w:sz w:val="21"/>
          <w:szCs w:val="21"/>
        </w:rPr>
        <w:t>1.</w:t>
      </w:r>
      <w:r>
        <w:rPr>
          <w:sz w:val="21"/>
          <w:szCs w:val="21"/>
        </w:rPr>
        <w:t>“玉容寂寞泪阑干，梨花一枝春带雨”出自于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>。</w:t>
      </w:r>
    </w:p>
    <w:p>
      <w:pPr>
        <w:pStyle w:val="4"/>
        <w:spacing w:before="0" w:after="0" w:line="200" w:lineRule="atLeast"/>
        <w:ind w:left="0"/>
        <w:outlineLvl w:val="0"/>
        <w:rPr>
          <w:sz w:val="21"/>
          <w:szCs w:val="21"/>
        </w:rPr>
      </w:pPr>
      <w:r>
        <w:rPr>
          <w:rFonts w:hint="eastAsia"/>
          <w:sz w:val="21"/>
          <w:szCs w:val="21"/>
        </w:rPr>
        <w:t>2.</w:t>
      </w:r>
      <w:r>
        <w:rPr>
          <w:sz w:val="21"/>
          <w:szCs w:val="21"/>
        </w:rPr>
        <w:t>“明月松间照，清泉石上流”出自于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>。</w:t>
      </w:r>
    </w:p>
    <w:p>
      <w:pPr>
        <w:pStyle w:val="4"/>
        <w:spacing w:before="0" w:after="0" w:line="200" w:lineRule="atLeast"/>
        <w:ind w:left="0"/>
        <w:outlineLvl w:val="0"/>
        <w:rPr>
          <w:sz w:val="21"/>
          <w:szCs w:val="21"/>
        </w:rPr>
      </w:pPr>
      <w:r>
        <w:rPr>
          <w:rFonts w:hint="eastAsia"/>
          <w:sz w:val="21"/>
          <w:szCs w:val="21"/>
        </w:rPr>
        <w:t>3.</w:t>
      </w:r>
      <w:r>
        <w:rPr>
          <w:sz w:val="21"/>
          <w:szCs w:val="21"/>
        </w:rPr>
        <w:t>完成诗句：“日暮苍山远，天寒白屋贫。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>，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>。”</w:t>
      </w:r>
    </w:p>
    <w:p>
      <w:pPr>
        <w:pStyle w:val="4"/>
        <w:spacing w:before="0" w:after="0" w:line="200" w:lineRule="atLeast"/>
        <w:ind w:left="0"/>
        <w:outlineLvl w:val="0"/>
        <w:rPr>
          <w:sz w:val="21"/>
          <w:szCs w:val="21"/>
        </w:rPr>
      </w:pPr>
      <w:r>
        <w:rPr>
          <w:rFonts w:hint="eastAsia"/>
          <w:sz w:val="21"/>
          <w:szCs w:val="21"/>
        </w:rPr>
        <w:t>4.</w:t>
      </w:r>
      <w:r>
        <w:rPr>
          <w:sz w:val="21"/>
          <w:szCs w:val="21"/>
        </w:rPr>
        <w:t>汉代的官学和私学都以讲授儒家经典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 xml:space="preserve">为主，其中就有《诗经》这部文学作品。 </w:t>
      </w:r>
    </w:p>
    <w:p>
      <w:pPr>
        <w:pStyle w:val="4"/>
        <w:spacing w:before="0" w:after="0" w:line="200" w:lineRule="atLeast"/>
        <w:ind w:left="0"/>
        <w:outlineLvl w:val="0"/>
        <w:rPr>
          <w:sz w:val="21"/>
          <w:szCs w:val="21"/>
        </w:rPr>
      </w:pPr>
      <w:r>
        <w:rPr>
          <w:rFonts w:hint="eastAsia"/>
          <w:sz w:val="21"/>
          <w:szCs w:val="21"/>
        </w:rPr>
        <w:t>5.</w:t>
      </w:r>
      <w:r>
        <w:rPr>
          <w:sz w:val="21"/>
          <w:szCs w:val="21"/>
        </w:rPr>
        <w:t>西汉时期，解读</w:t>
      </w:r>
      <w:r>
        <w:rPr>
          <w:rFonts w:hint="eastAsia"/>
          <w:sz w:val="21"/>
          <w:szCs w:val="21"/>
          <w:u w:val="single"/>
        </w:rPr>
        <w:t xml:space="preserve">           </w:t>
      </w:r>
      <w:r>
        <w:rPr>
          <w:sz w:val="21"/>
          <w:szCs w:val="21"/>
        </w:rPr>
        <w:t>是一种专门学问，例如武帝时的朱买臣、淮南王刘安都擅长此学，宣帝亦修武帝故事，深推重之。</w:t>
      </w:r>
    </w:p>
    <w:p>
      <w:pPr>
        <w:rPr>
          <w:rFonts w:ascii="宋体" w:hAnsi="宋体"/>
          <w:szCs w:val="21"/>
        </w:rPr>
      </w:pPr>
    </w:p>
    <w:p>
      <w:pPr>
        <w:spacing w:line="400" w:lineRule="atLeast"/>
        <w:jc w:val="left"/>
        <w:rPr>
          <w:rFonts w:ascii="黑体" w:hAnsi="黑体" w:eastAsia="黑体" w:cs="宋体"/>
          <w:b/>
          <w:sz w:val="24"/>
        </w:rPr>
      </w:pPr>
      <w:r>
        <w:rPr>
          <w:rFonts w:hint="eastAsia" w:ascii="黑体" w:hAnsi="黑体" w:eastAsia="黑体" w:cs="宋体"/>
          <w:b/>
          <w:sz w:val="24"/>
        </w:rPr>
        <w:t>三、名词解释</w:t>
      </w:r>
    </w:p>
    <w:p>
      <w:pPr>
        <w:pStyle w:val="4"/>
        <w:spacing w:before="0" w:after="0" w:line="200" w:lineRule="atLeast"/>
        <w:ind w:left="0"/>
        <w:outlineLvl w:val="0"/>
        <w:rPr>
          <w:rFonts w:ascii="宋体" w:hAnsi="宋体"/>
          <w:szCs w:val="21"/>
        </w:rPr>
      </w:pPr>
      <w:r>
        <w:rPr>
          <w:rFonts w:hint="eastAsia"/>
          <w:sz w:val="21"/>
          <w:szCs w:val="21"/>
        </w:rPr>
        <w:t>1.</w:t>
      </w:r>
      <w:r>
        <w:rPr>
          <w:sz w:val="21"/>
          <w:szCs w:val="21"/>
        </w:rPr>
        <w:t>赋比兴</w:t>
      </w:r>
      <w:r>
        <w:rPr>
          <w:rFonts w:hint="eastAsia"/>
          <w:sz w:val="21"/>
          <w:szCs w:val="21"/>
        </w:rPr>
        <w:t>：</w:t>
      </w:r>
    </w:p>
    <w:p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风雅颂</w:t>
      </w:r>
      <w:r>
        <w:rPr>
          <w:rFonts w:hint="eastAsia" w:ascii="宋体" w:hAnsi="宋体"/>
          <w:szCs w:val="21"/>
        </w:rPr>
        <w:t>：</w:t>
      </w:r>
    </w:p>
    <w:p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《过秦论</w:t>
      </w:r>
      <w:r>
        <w:rPr>
          <w:rFonts w:hint="eastAsia" w:ascii="宋体" w:hAnsi="宋体"/>
          <w:szCs w:val="21"/>
        </w:rPr>
        <w:t>》：</w:t>
      </w:r>
    </w:p>
    <w:p>
      <w:pPr>
        <w:numPr>
          <w:ilvl w:val="0"/>
          <w:numId w:val="1"/>
        </w:numPr>
        <w:rPr>
          <w:b/>
          <w:sz w:val="21"/>
          <w:szCs w:val="21"/>
        </w:rPr>
      </w:pPr>
      <w:r>
        <w:rPr>
          <w:rFonts w:ascii="宋体" w:hAnsi="宋体"/>
          <w:szCs w:val="21"/>
        </w:rPr>
        <w:t>汉赋</w:t>
      </w:r>
      <w:r>
        <w:rPr>
          <w:rFonts w:hint="eastAsia" w:ascii="宋体" w:hAnsi="宋体"/>
          <w:szCs w:val="21"/>
        </w:rPr>
        <w:t>：</w:t>
      </w:r>
    </w:p>
    <w:p>
      <w:pPr>
        <w:spacing w:line="400" w:lineRule="atLeast"/>
        <w:jc w:val="left"/>
        <w:rPr>
          <w:rFonts w:ascii="黑体" w:hAnsi="黑体" w:eastAsia="黑体" w:cs="宋体"/>
          <w:b/>
          <w:sz w:val="24"/>
        </w:rPr>
      </w:pPr>
      <w:r>
        <w:rPr>
          <w:rFonts w:hint="eastAsia" w:ascii="黑体" w:hAnsi="黑体" w:eastAsia="黑体" w:cs="宋体"/>
          <w:b/>
          <w:sz w:val="24"/>
        </w:rPr>
        <w:t>四、简答题</w:t>
      </w:r>
    </w:p>
    <w:p>
      <w:pPr>
        <w:pStyle w:val="4"/>
        <w:spacing w:before="0" w:after="0" w:line="200" w:lineRule="atLeast"/>
        <w:ind w:left="0"/>
        <w:rPr>
          <w:sz w:val="21"/>
          <w:szCs w:val="21"/>
        </w:rPr>
      </w:pPr>
      <w:r>
        <w:rPr>
          <w:rFonts w:hint="eastAsia"/>
          <w:sz w:val="21"/>
          <w:szCs w:val="21"/>
        </w:rPr>
        <w:t>1.</w:t>
      </w:r>
      <w:r>
        <w:rPr>
          <w:sz w:val="21"/>
          <w:szCs w:val="21"/>
        </w:rPr>
        <w:t>《史记》的人物传记在剪裁和材料安排上有什么成就？</w:t>
      </w:r>
    </w:p>
    <w:p>
      <w:pPr>
        <w:pStyle w:val="4"/>
        <w:spacing w:before="0" w:after="0" w:line="200" w:lineRule="atLeast"/>
        <w:ind w:left="0"/>
        <w:rPr>
          <w:rFonts w:hint="eastAsia" w:ascii="宋体" w:hAnsi="宋体" w:eastAsia="宋体"/>
          <w:b/>
          <w:sz w:val="28"/>
          <w:szCs w:val="28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谈谈李商隐诗歌的多义性及其成因。</w:t>
      </w: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</w:rPr>
        <w:br w:type="page"/>
      </w:r>
    </w:p>
    <w:p>
      <w:pPr>
        <w:adjustRightInd w:val="0"/>
        <w:snapToGrid w:val="0"/>
        <w:spacing w:line="280" w:lineRule="exact"/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模拟参考答案</w:t>
      </w: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选择题</w:t>
      </w:r>
    </w:p>
    <w:p>
      <w:pPr>
        <w:numPr>
          <w:ilvl w:val="0"/>
          <w:numId w:val="3"/>
        </w:numPr>
        <w:adjustRightInd w:val="0"/>
        <w:snapToGrid w:val="0"/>
        <w:spacing w:line="280" w:lineRule="exac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D、</w:t>
      </w:r>
      <w:r>
        <w:rPr>
          <w:rFonts w:hint="eastAsia" w:ascii="宋体" w:hAnsi="宋体" w:eastAsia="宋体"/>
          <w:szCs w:val="21"/>
        </w:rPr>
        <w:t xml:space="preserve"> 2.</w:t>
      </w:r>
      <w:r>
        <w:rPr>
          <w:rFonts w:ascii="宋体" w:hAnsi="宋体" w:eastAsia="宋体"/>
          <w:szCs w:val="21"/>
        </w:rPr>
        <w:t>A、</w:t>
      </w:r>
      <w:r>
        <w:rPr>
          <w:rFonts w:hint="eastAsia" w:ascii="宋体" w:hAnsi="宋体" w:eastAsia="宋体"/>
          <w:szCs w:val="21"/>
        </w:rPr>
        <w:t xml:space="preserve"> 3.</w:t>
      </w:r>
      <w:r>
        <w:rPr>
          <w:rFonts w:ascii="宋体" w:hAnsi="宋体" w:eastAsia="宋体"/>
          <w:szCs w:val="21"/>
        </w:rPr>
        <w:t>D</w:t>
      </w:r>
      <w:r>
        <w:rPr>
          <w:rFonts w:hint="eastAsia" w:ascii="宋体" w:hAnsi="宋体" w:eastAsia="宋体"/>
          <w:szCs w:val="21"/>
        </w:rPr>
        <w:t xml:space="preserve">、 </w:t>
      </w:r>
      <w:r>
        <w:rPr>
          <w:rFonts w:ascii="宋体" w:hAnsi="宋体" w:eastAsia="宋体"/>
          <w:szCs w:val="21"/>
        </w:rPr>
        <w:t>4</w:t>
      </w:r>
      <w:r>
        <w:rPr>
          <w:rFonts w:hint="eastAsia" w:ascii="宋体" w:hAnsi="宋体" w:eastAsia="宋体"/>
          <w:szCs w:val="21"/>
        </w:rPr>
        <w:t>.</w:t>
      </w:r>
      <w:r>
        <w:rPr>
          <w:rFonts w:ascii="宋体" w:hAnsi="宋体" w:eastAsia="宋体"/>
          <w:szCs w:val="21"/>
        </w:rPr>
        <w:t>C、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>5</w:t>
      </w:r>
      <w:r>
        <w:rPr>
          <w:rFonts w:hint="eastAsia" w:ascii="宋体" w:hAnsi="宋体" w:eastAsia="宋体"/>
          <w:szCs w:val="21"/>
        </w:rPr>
        <w:t>.</w:t>
      </w:r>
      <w:r>
        <w:rPr>
          <w:rFonts w:ascii="宋体" w:hAnsi="宋体" w:eastAsia="宋体"/>
          <w:szCs w:val="21"/>
        </w:rPr>
        <w:t>A、</w:t>
      </w:r>
    </w:p>
    <w:p>
      <w:pPr>
        <w:adjustRightInd w:val="0"/>
        <w:snapToGrid w:val="0"/>
        <w:spacing w:line="280" w:lineRule="exact"/>
        <w:rPr>
          <w:rFonts w:ascii="宋体" w:hAnsi="宋体" w:eastAsia="宋体"/>
          <w:szCs w:val="21"/>
        </w:rPr>
      </w:pP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填空题</w:t>
      </w:r>
    </w:p>
    <w:p>
      <w:p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szCs w:val="21"/>
        </w:rPr>
        <w:t>1.</w:t>
      </w:r>
      <w:r>
        <w:rPr>
          <w:rFonts w:ascii="宋体" w:hAnsi="宋体" w:eastAsia="宋体"/>
          <w:szCs w:val="21"/>
        </w:rPr>
        <w:t>白居易《长恨歌》</w:t>
      </w:r>
      <w:r>
        <w:rPr>
          <w:rFonts w:hint="eastAsia" w:ascii="宋体" w:hAnsi="宋体" w:eastAsia="宋体"/>
          <w:szCs w:val="21"/>
        </w:rPr>
        <w:t xml:space="preserve">  2.</w:t>
      </w:r>
      <w:r>
        <w:rPr>
          <w:rFonts w:ascii="宋体" w:hAnsi="宋体" w:eastAsia="宋体"/>
          <w:szCs w:val="21"/>
        </w:rPr>
        <w:t>王维《山居秋暝》</w:t>
      </w:r>
      <w:r>
        <w:rPr>
          <w:rFonts w:hint="eastAsia" w:ascii="宋体" w:hAnsi="宋体" w:eastAsia="宋体"/>
          <w:szCs w:val="21"/>
        </w:rPr>
        <w:t xml:space="preserve">   3.</w:t>
      </w:r>
      <w:r>
        <w:rPr>
          <w:rFonts w:ascii="宋体" w:hAnsi="宋体" w:eastAsia="宋体"/>
          <w:szCs w:val="21"/>
        </w:rPr>
        <w:t>“柴门闻犬吠，风雪夜归人。”</w:t>
      </w:r>
      <w:r>
        <w:rPr>
          <w:rFonts w:hint="eastAsia" w:ascii="宋体" w:hAnsi="宋体" w:eastAsia="宋体"/>
          <w:szCs w:val="21"/>
        </w:rPr>
        <w:t xml:space="preserve">  4</w:t>
      </w:r>
      <w:r>
        <w:rPr>
          <w:rFonts w:ascii="宋体" w:hAnsi="宋体" w:eastAsia="宋体"/>
          <w:szCs w:val="21"/>
        </w:rPr>
        <w:t>．五经</w:t>
      </w:r>
      <w:r>
        <w:rPr>
          <w:rFonts w:hint="eastAsia" w:ascii="宋体" w:hAnsi="宋体" w:eastAsia="宋体"/>
          <w:szCs w:val="21"/>
        </w:rPr>
        <w:t xml:space="preserve">  5</w:t>
      </w:r>
      <w:r>
        <w:rPr>
          <w:rFonts w:ascii="宋体" w:hAnsi="宋体" w:eastAsia="宋体"/>
          <w:szCs w:val="21"/>
        </w:rPr>
        <w:t>．楚辞</w:t>
      </w: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名词解释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1.</w:t>
      </w:r>
      <w:r>
        <w:rPr>
          <w:rFonts w:eastAsia="宋体"/>
          <w:sz w:val="21"/>
          <w:szCs w:val="21"/>
        </w:rPr>
        <w:t>赋比兴：赋就是铺陈直叙，既可以是叙事，也可以是议论抒情。比就是比方。兴则是触物兴词，客观事物触发了诗人的情感，引起诗人歌唱，所以大多在诗歌的发端。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2.</w:t>
      </w:r>
      <w:r>
        <w:rPr>
          <w:rFonts w:eastAsia="宋体"/>
          <w:sz w:val="21"/>
          <w:szCs w:val="21"/>
        </w:rPr>
        <w:t>风雅颂：风雅颂是诗经的分类。风即音乐曲调，国风即各地区的乐调。国是地区方域之意。雅即正，指朝廷正乐，西周王畿的乐调。雅分为大小雅。颂是宗庙祭祀之乐，许多都是舞曲，音乐可能比较舒缓。颂分为周颂、鲁颂、商颂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3．《过秦论》：散文篇名，西汉贾谊作。一般分为上、中、下三篇。“过秦”是指责秦政之失。作者详细论述秦王朝迅速为农民起义所推翻的原因，旨在作为汉兴之后接受历史教训、巩固统治的借鉴。文中对秦政的苛虐有所暴露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4．汉赋：汉代流行的文学体裁。吸取《楚辞》、荀卿《赋篇》体制词藻、纵横家铺张的手法而形成。有小赋和大赋之分，小赋多为抒情作品，大赋多写宫观园苑之盛和帝王穷奢极侈的生活，在篇末有时寄寓讽谏之意；间有辩难、说理之作。为当时统治者所喜爱。</w:t>
      </w:r>
    </w:p>
    <w:p>
      <w:pPr>
        <w:pStyle w:val="4"/>
        <w:adjustRightInd w:val="0"/>
        <w:snapToGrid w:val="0"/>
        <w:spacing w:before="0" w:after="0" w:line="280" w:lineRule="exact"/>
        <w:rPr>
          <w:rFonts w:eastAsia="宋体"/>
          <w:sz w:val="21"/>
          <w:szCs w:val="21"/>
        </w:rPr>
      </w:pPr>
    </w:p>
    <w:p>
      <w:pPr>
        <w:adjustRightInd w:val="0"/>
        <w:snapToGrid w:val="0"/>
        <w:spacing w:line="280" w:lineRule="exact"/>
        <w:rPr>
          <w:rFonts w:ascii="宋体" w:hAnsi="宋体" w:eastAsia="宋体" w:cstheme="minorEastAsia"/>
          <w:bCs/>
          <w:szCs w:val="21"/>
        </w:rPr>
      </w:pPr>
    </w:p>
    <w:p>
      <w:pPr>
        <w:numPr>
          <w:ilvl w:val="0"/>
          <w:numId w:val="2"/>
        </w:num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简答题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1</w:t>
      </w:r>
      <w:r>
        <w:rPr>
          <w:rFonts w:eastAsia="宋体"/>
          <w:sz w:val="21"/>
          <w:szCs w:val="21"/>
        </w:rPr>
        <w:t>．《史记》的人物传记在剪裁和材料安排上有什么成就？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第一</w:t>
      </w:r>
      <w:r>
        <w:rPr>
          <w:rFonts w:hint="eastAsia" w:eastAsia="宋体"/>
          <w:sz w:val="21"/>
          <w:szCs w:val="21"/>
        </w:rPr>
        <w:t>，</w:t>
      </w:r>
      <w:r>
        <w:rPr>
          <w:rFonts w:eastAsia="宋体"/>
          <w:sz w:val="21"/>
          <w:szCs w:val="21"/>
        </w:rPr>
        <w:t>运用“互见法”，既使人物的主要性格特征鲜明突出，又揭示人物多侧面的性格特征，使之形象鲜明，血肉丰满。  第二，司马迁善于在同一篇传记中详略得当地安排材料，既突出人物的性格特征，也写出其复杂性。</w:t>
      </w:r>
    </w:p>
    <w:p>
      <w:pPr>
        <w:adjustRightInd w:val="0"/>
        <w:snapToGrid w:val="0"/>
        <w:spacing w:line="280" w:lineRule="exact"/>
        <w:rPr>
          <w:rFonts w:ascii="宋体" w:hAnsi="宋体" w:eastAsia="宋体"/>
          <w:b/>
          <w:szCs w:val="21"/>
        </w:rPr>
      </w:pP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2、谈谈李商隐诗歌的多义性及其成因。</w:t>
      </w:r>
    </w:p>
    <w:p>
      <w:pPr>
        <w:pStyle w:val="4"/>
        <w:spacing w:before="0" w:after="0" w:line="200" w:lineRule="atLeast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李商隐诗歌的多义性主要体现在其“无题诗”一类，其境界和情思朦胧，在内涵上可以有多种解读，如《锦瑟》。其成因大致有以下四个方面：1）诗人将心灵世界作为表现对象，而且其心境又非常复杂，各种情绪互相牵连渗透，难辨难分；2）与其诗歌意象的独特有一定的联系，其诗歌意象多富非现实的色彩，被心灵化了；3）大量用典，又擅长对典故的内涵加以增殖改造，用典的方式也别开生面。4）与其诗歌独特的意象组合也很有关系，其意象往往错综跳跃，不受现实生活中的时空和因果顺序限制。</w:t>
      </w:r>
    </w:p>
    <w:p>
      <w:pPr>
        <w:rPr>
          <w:rFonts w:ascii="宋体" w:hAnsi="宋体" w:eastAsia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EF45F0"/>
    <w:multiLevelType w:val="singleLevel"/>
    <w:tmpl w:val="84EF45F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1A82F0B"/>
    <w:multiLevelType w:val="singleLevel"/>
    <w:tmpl w:val="A1A82F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9BD4AC8"/>
    <w:multiLevelType w:val="singleLevel"/>
    <w:tmpl w:val="C9BD4AC8"/>
    <w:lvl w:ilvl="0" w:tentative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3B4702"/>
    <w:rsid w:val="004C42AB"/>
    <w:rsid w:val="00662CD9"/>
    <w:rsid w:val="006A4B0C"/>
    <w:rsid w:val="007636A5"/>
    <w:rsid w:val="009B2B43"/>
    <w:rsid w:val="009F46F5"/>
    <w:rsid w:val="00E92C54"/>
    <w:rsid w:val="08426DFB"/>
    <w:rsid w:val="0A3357D0"/>
    <w:rsid w:val="18A9382F"/>
    <w:rsid w:val="238F63F7"/>
    <w:rsid w:val="2B5044B1"/>
    <w:rsid w:val="3622427E"/>
    <w:rsid w:val="592759BC"/>
    <w:rsid w:val="633B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225" w:after="225"/>
      <w:ind w:left="75"/>
      <w:jc w:val="left"/>
    </w:pPr>
    <w:rPr>
      <w:rFonts w:ascii="宋体" w:hAnsi="宋体" w:cs="宋体"/>
      <w:kern w:val="0"/>
      <w:sz w:val="24"/>
    </w:rPr>
  </w:style>
  <w:style w:type="character" w:styleId="6">
    <w:name w:val="Hyperlink"/>
    <w:basedOn w:val="5"/>
    <w:qFormat/>
    <w:uiPriority w:val="0"/>
    <w:rPr>
      <w:color w:val="000000"/>
      <w:sz w:val="18"/>
      <w:szCs w:val="18"/>
      <w:u w:val="none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876</Characters>
  <Lines>7</Lines>
  <Paragraphs>2</Paragraphs>
  <TotalTime>1</TotalTime>
  <ScaleCrop>false</ScaleCrop>
  <LinksUpToDate>false</LinksUpToDate>
  <CharactersWithSpaces>1027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2020-11-09T13:22:00Z</dcterms:created>
  <dc:creator>李林峰</dc:creator>
  <cp:lastModifiedBy>Administrator</cp:lastModifiedBy>
  <dcterms:modified xsi:type="dcterms:W3CDTF">2021-12-17T07:47:02Z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