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0" w:lineRule="exact"/>
        <w:jc w:val="center"/>
        <w:rPr>
          <w:rFonts w:hint="eastAsia" w:ascii="Arial" w:hAnsi="Arial" w:eastAsia="宋体"/>
          <w:b/>
          <w:snapToGrid w:val="0"/>
          <w:kern w:val="0"/>
          <w:lang w:eastAsia="zh-CN"/>
        </w:rPr>
      </w:pPr>
      <w:r>
        <w:rPr>
          <w:rFonts w:hint="eastAsia" w:ascii="Arial" w:hAnsi="Arial"/>
          <w:b/>
          <w:snapToGrid w:val="0"/>
          <w:kern w:val="0"/>
          <w:sz w:val="32"/>
        </w:rPr>
        <w:t>《</w:t>
      </w:r>
      <w:r>
        <w:rPr>
          <w:rFonts w:hint="eastAsia" w:ascii="Courier New" w:hAnsi="Courier New"/>
          <w:b/>
          <w:snapToGrid w:val="0"/>
          <w:kern w:val="0"/>
          <w:sz w:val="32"/>
          <w:lang w:eastAsia="zh-CN"/>
        </w:rPr>
        <w:t>行政法与行政诉讼法</w:t>
      </w:r>
      <w:r>
        <w:rPr>
          <w:rFonts w:hint="eastAsia" w:ascii="Arial" w:hAnsi="Arial"/>
          <w:b/>
          <w:snapToGrid w:val="0"/>
          <w:kern w:val="0"/>
          <w:sz w:val="32"/>
        </w:rPr>
        <w:t>》</w:t>
      </w:r>
      <w:r>
        <w:rPr>
          <w:rFonts w:hint="eastAsia" w:ascii="Arial" w:hAnsi="Arial"/>
          <w:b/>
          <w:snapToGrid w:val="0"/>
          <w:kern w:val="0"/>
          <w:sz w:val="32"/>
          <w:lang w:eastAsia="zh-CN"/>
        </w:rPr>
        <w:t>复习资料</w:t>
      </w:r>
    </w:p>
    <w:p>
      <w:pPr>
        <w:tabs>
          <w:tab w:val="left" w:pos="3906"/>
        </w:tabs>
        <w:rPr>
          <w:rFonts w:hint="eastAsia" w:eastAsia="宋体"/>
          <w:lang w:eastAsia="zh-CN"/>
        </w:rPr>
      </w:pPr>
      <w:r>
        <w:rPr>
          <w:rFonts w:hint="eastAsia"/>
          <w:lang w:eastAsia="zh-CN"/>
        </w:rPr>
        <w:tab/>
      </w:r>
    </w:p>
    <w:p>
      <w:pPr>
        <w:adjustRightInd w:val="0"/>
        <w:snapToGrid w:val="0"/>
        <w:rPr>
          <w:rFonts w:hint="eastAsia" w:ascii="宋体" w:hAnsi="宋体"/>
          <w:snapToGrid w:val="0"/>
          <w:kern w:val="0"/>
          <w:szCs w:val="21"/>
        </w:rPr>
      </w:pPr>
    </w:p>
    <w:p>
      <w:pPr>
        <w:adjustRightInd w:val="0"/>
        <w:snapToGrid w:val="0"/>
        <w:rPr>
          <w:rFonts w:hint="eastAsia" w:ascii="宋体" w:hAnsi="宋体" w:eastAsia="宋体"/>
          <w:b/>
          <w:bCs/>
          <w:snapToGrid w:val="0"/>
          <w:kern w:val="0"/>
          <w:szCs w:val="21"/>
          <w:lang w:eastAsia="zh-CN"/>
        </w:rPr>
      </w:pPr>
      <w:r>
        <w:rPr>
          <w:rFonts w:hint="eastAsia" w:ascii="宋体" w:hAnsi="宋体"/>
          <w:b/>
          <w:bCs/>
          <w:snapToGrid w:val="0"/>
          <w:kern w:val="0"/>
          <w:szCs w:val="21"/>
        </w:rPr>
        <w:t>一、单项选择题</w:t>
      </w:r>
      <w:r>
        <w:rPr>
          <w:rFonts w:hint="eastAsia" w:ascii="宋体" w:hAnsi="宋体"/>
          <w:b/>
          <w:bCs/>
          <w:snapToGrid w:val="0"/>
          <w:kern w:val="0"/>
          <w:szCs w:val="21"/>
          <w:lang w:val="en-US" w:eastAsia="zh-CN"/>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1.天津市人民政府制定的规章不得称（    ）　</w:t>
      </w:r>
    </w:p>
    <w:p>
      <w:pPr>
        <w:adjustRightInd w:val="0"/>
        <w:snapToGrid w:val="0"/>
        <w:rPr>
          <w:rFonts w:hint="eastAsia" w:ascii="宋体" w:hAnsi="宋体"/>
          <w:snapToGrid w:val="0"/>
          <w:kern w:val="0"/>
          <w:szCs w:val="21"/>
        </w:rPr>
      </w:pPr>
      <w:r>
        <w:rPr>
          <w:rFonts w:hint="eastAsia" w:ascii="宋体" w:hAnsi="宋体"/>
          <w:snapToGrid w:val="0"/>
          <w:kern w:val="0"/>
          <w:szCs w:val="21"/>
        </w:rPr>
        <w:t>A.条例            B.规定          C.办法        D.实施细则</w:t>
      </w:r>
    </w:p>
    <w:p>
      <w:pPr>
        <w:adjustRightInd w:val="0"/>
        <w:snapToGrid w:val="0"/>
        <w:rPr>
          <w:rFonts w:hint="eastAsia" w:ascii="宋体" w:hAnsi="宋体"/>
          <w:snapToGrid w:val="0"/>
          <w:kern w:val="0"/>
          <w:szCs w:val="21"/>
        </w:rPr>
      </w:pPr>
      <w:r>
        <w:rPr>
          <w:rFonts w:hint="eastAsia" w:ascii="宋体" w:hAnsi="宋体"/>
          <w:snapToGrid w:val="0"/>
          <w:kern w:val="0"/>
          <w:szCs w:val="21"/>
        </w:rPr>
        <w:t>2.下列属于行政处分种类的是（　 　）</w:t>
      </w:r>
    </w:p>
    <w:p>
      <w:pPr>
        <w:adjustRightInd w:val="0"/>
        <w:snapToGrid w:val="0"/>
        <w:rPr>
          <w:rFonts w:hint="eastAsia" w:ascii="宋体" w:hAnsi="宋体"/>
          <w:snapToGrid w:val="0"/>
          <w:kern w:val="0"/>
          <w:szCs w:val="21"/>
        </w:rPr>
      </w:pPr>
      <w:r>
        <w:rPr>
          <w:rFonts w:hint="eastAsia" w:ascii="宋体" w:hAnsi="宋体"/>
          <w:snapToGrid w:val="0"/>
          <w:kern w:val="0"/>
          <w:szCs w:val="21"/>
        </w:rPr>
        <w:t>A. 警告           B. 取消公务员录用 C. 罚款     D. 辞退</w:t>
      </w:r>
    </w:p>
    <w:p>
      <w:pPr>
        <w:adjustRightInd w:val="0"/>
        <w:snapToGrid w:val="0"/>
        <w:rPr>
          <w:rFonts w:hint="eastAsia" w:ascii="宋体" w:hAnsi="宋体"/>
          <w:snapToGrid w:val="0"/>
          <w:kern w:val="0"/>
          <w:szCs w:val="21"/>
        </w:rPr>
      </w:pPr>
      <w:r>
        <w:rPr>
          <w:rFonts w:hint="eastAsia" w:ascii="宋体" w:hAnsi="宋体"/>
          <w:snapToGrid w:val="0"/>
          <w:kern w:val="0"/>
          <w:szCs w:val="21"/>
        </w:rPr>
        <w:t>3.有效成立的行政行为非依法律规定不得随意变更、撤销或者废止，这体现了行政行为的（      ）</w:t>
      </w:r>
    </w:p>
    <w:p>
      <w:pPr>
        <w:adjustRightInd w:val="0"/>
        <w:snapToGrid w:val="0"/>
        <w:rPr>
          <w:rFonts w:hint="eastAsia" w:ascii="宋体" w:hAnsi="宋体"/>
          <w:snapToGrid w:val="0"/>
          <w:kern w:val="0"/>
          <w:szCs w:val="21"/>
        </w:rPr>
      </w:pPr>
      <w:r>
        <w:rPr>
          <w:rFonts w:hint="eastAsia" w:ascii="宋体" w:hAnsi="宋体"/>
          <w:snapToGrid w:val="0"/>
          <w:kern w:val="0"/>
          <w:szCs w:val="21"/>
        </w:rPr>
        <w:t>A. 拘束力         B. 执行力     C. 确定力       D. 公定力</w:t>
      </w:r>
    </w:p>
    <w:p>
      <w:pPr>
        <w:adjustRightInd w:val="0"/>
        <w:snapToGrid w:val="0"/>
        <w:rPr>
          <w:rFonts w:hint="eastAsia" w:ascii="宋体" w:hAnsi="宋体"/>
          <w:snapToGrid w:val="0"/>
          <w:kern w:val="0"/>
          <w:szCs w:val="21"/>
        </w:rPr>
      </w:pPr>
      <w:r>
        <w:rPr>
          <w:rFonts w:hint="eastAsia" w:ascii="宋体" w:hAnsi="宋体"/>
          <w:snapToGrid w:val="0"/>
          <w:kern w:val="0"/>
          <w:szCs w:val="21"/>
        </w:rPr>
        <w:t>4.我国中央部门规章有权设定的行政处罚是（     ）</w:t>
      </w:r>
    </w:p>
    <w:p>
      <w:pPr>
        <w:adjustRightInd w:val="0"/>
        <w:snapToGrid w:val="0"/>
        <w:rPr>
          <w:rFonts w:hint="eastAsia" w:ascii="宋体" w:hAnsi="宋体"/>
          <w:snapToGrid w:val="0"/>
          <w:kern w:val="0"/>
          <w:szCs w:val="21"/>
        </w:rPr>
      </w:pPr>
      <w:r>
        <w:rPr>
          <w:rFonts w:hint="eastAsia" w:ascii="宋体" w:hAnsi="宋体"/>
          <w:snapToGrid w:val="0"/>
          <w:kern w:val="0"/>
          <w:szCs w:val="21"/>
        </w:rPr>
        <w:t>A. 吊销企业营业执照   B. 行政拘留  C. 没收违法所得    D. 一定数量的罚款</w:t>
      </w:r>
    </w:p>
    <w:p>
      <w:pPr>
        <w:adjustRightInd w:val="0"/>
        <w:snapToGrid w:val="0"/>
        <w:rPr>
          <w:rFonts w:hint="eastAsia" w:ascii="宋体" w:hAnsi="宋体"/>
          <w:snapToGrid w:val="0"/>
          <w:kern w:val="0"/>
          <w:szCs w:val="21"/>
        </w:rPr>
      </w:pPr>
      <w:r>
        <w:rPr>
          <w:rFonts w:hint="eastAsia" w:ascii="宋体" w:hAnsi="宋体"/>
          <w:snapToGrid w:val="0"/>
          <w:kern w:val="0"/>
          <w:szCs w:val="21"/>
        </w:rPr>
        <w:t>5.被许可人需要延续依法取得的行政许可的有效期，依法向作出行政许可决定的行政机关提出了延续申请。如果该行政机关逾期未作决定，（    ）。</w:t>
      </w:r>
    </w:p>
    <w:p>
      <w:pPr>
        <w:adjustRightInd w:val="0"/>
        <w:snapToGrid w:val="0"/>
        <w:rPr>
          <w:rFonts w:hint="eastAsia" w:ascii="宋体" w:hAnsi="宋体"/>
          <w:snapToGrid w:val="0"/>
          <w:kern w:val="0"/>
          <w:szCs w:val="21"/>
        </w:rPr>
      </w:pPr>
      <w:r>
        <w:rPr>
          <w:rFonts w:hint="eastAsia" w:ascii="宋体" w:hAnsi="宋体"/>
          <w:snapToGrid w:val="0"/>
          <w:kern w:val="0"/>
          <w:szCs w:val="21"/>
        </w:rPr>
        <w:t>A．视为要求被许可人重新办理行政许可    B．以后不得作出拒绝延续的决定</w:t>
      </w:r>
    </w:p>
    <w:p>
      <w:pPr>
        <w:adjustRightInd w:val="0"/>
        <w:snapToGrid w:val="0"/>
        <w:rPr>
          <w:rFonts w:hint="eastAsia" w:ascii="宋体" w:hAnsi="宋体"/>
          <w:snapToGrid w:val="0"/>
          <w:kern w:val="0"/>
          <w:szCs w:val="21"/>
        </w:rPr>
      </w:pPr>
      <w:r>
        <w:rPr>
          <w:rFonts w:hint="eastAsia" w:ascii="宋体" w:hAnsi="宋体"/>
          <w:snapToGrid w:val="0"/>
          <w:kern w:val="0"/>
          <w:szCs w:val="21"/>
        </w:rPr>
        <w:t>C．视为准予延续                        D．视为拒绝延续</w:t>
      </w:r>
    </w:p>
    <w:p>
      <w:pPr>
        <w:adjustRightInd w:val="0"/>
        <w:snapToGrid w:val="0"/>
        <w:rPr>
          <w:rFonts w:hint="eastAsia" w:ascii="宋体" w:hAnsi="宋体"/>
          <w:snapToGrid w:val="0"/>
          <w:kern w:val="0"/>
          <w:szCs w:val="21"/>
        </w:rPr>
      </w:pPr>
      <w:r>
        <w:rPr>
          <w:rFonts w:hint="eastAsia" w:ascii="宋体" w:hAnsi="宋体"/>
          <w:snapToGrid w:val="0"/>
          <w:kern w:val="0"/>
          <w:szCs w:val="21"/>
        </w:rPr>
        <w:t>6.人民法院审理行政处罚案件，对（    　）进行审查。</w:t>
      </w:r>
    </w:p>
    <w:p>
      <w:pPr>
        <w:adjustRightInd w:val="0"/>
        <w:snapToGrid w:val="0"/>
        <w:rPr>
          <w:rFonts w:hint="eastAsia" w:ascii="宋体" w:hAnsi="宋体"/>
          <w:snapToGrid w:val="0"/>
          <w:kern w:val="0"/>
          <w:szCs w:val="21"/>
        </w:rPr>
      </w:pPr>
      <w:r>
        <w:rPr>
          <w:rFonts w:hint="eastAsia" w:ascii="宋体" w:hAnsi="宋体"/>
          <w:snapToGrid w:val="0"/>
          <w:kern w:val="0"/>
          <w:szCs w:val="21"/>
        </w:rPr>
        <w:t>A. 行政处罚决定是否合法              B. 行政处罚决定是否适当</w:t>
      </w:r>
    </w:p>
    <w:p>
      <w:pPr>
        <w:adjustRightInd w:val="0"/>
        <w:snapToGrid w:val="0"/>
        <w:rPr>
          <w:rFonts w:hint="eastAsia" w:ascii="宋体" w:hAnsi="宋体"/>
          <w:snapToGrid w:val="0"/>
          <w:kern w:val="0"/>
          <w:szCs w:val="21"/>
        </w:rPr>
      </w:pPr>
      <w:r>
        <w:rPr>
          <w:rFonts w:hint="eastAsia" w:ascii="宋体" w:hAnsi="宋体"/>
          <w:snapToGrid w:val="0"/>
          <w:kern w:val="0"/>
          <w:szCs w:val="21"/>
        </w:rPr>
        <w:t>C. 行政处罚决定是否合法与适当        D. 行政相对人是否存在违法行为</w:t>
      </w:r>
    </w:p>
    <w:p>
      <w:pPr>
        <w:adjustRightInd w:val="0"/>
        <w:snapToGrid w:val="0"/>
        <w:rPr>
          <w:rFonts w:hint="eastAsia" w:ascii="宋体" w:hAnsi="宋体"/>
          <w:snapToGrid w:val="0"/>
          <w:kern w:val="0"/>
          <w:szCs w:val="21"/>
        </w:rPr>
      </w:pPr>
      <w:r>
        <w:rPr>
          <w:rFonts w:hint="eastAsia" w:ascii="宋体" w:hAnsi="宋体"/>
          <w:snapToGrid w:val="0"/>
          <w:kern w:val="0"/>
          <w:szCs w:val="21"/>
        </w:rPr>
        <w:t>7．行政机关的下列行为中属于行政诉讼受案范围的是（    ）</w:t>
      </w:r>
    </w:p>
    <w:p>
      <w:pPr>
        <w:adjustRightInd w:val="0"/>
        <w:snapToGrid w:val="0"/>
        <w:rPr>
          <w:rFonts w:hint="eastAsia" w:ascii="宋体" w:hAnsi="宋体"/>
          <w:snapToGrid w:val="0"/>
          <w:kern w:val="0"/>
          <w:szCs w:val="21"/>
        </w:rPr>
      </w:pPr>
      <w:r>
        <w:rPr>
          <w:rFonts w:hint="eastAsia" w:ascii="宋体" w:hAnsi="宋体"/>
          <w:snapToGrid w:val="0"/>
          <w:kern w:val="0"/>
          <w:szCs w:val="21"/>
        </w:rPr>
        <w:t>A. 行政机关对行政相对人的财产采取的查封、扣押、冻结等行政强制措施行为</w:t>
      </w:r>
    </w:p>
    <w:p>
      <w:pPr>
        <w:adjustRightInd w:val="0"/>
        <w:snapToGrid w:val="0"/>
        <w:rPr>
          <w:rFonts w:hint="eastAsia" w:ascii="宋体" w:hAnsi="宋体"/>
          <w:snapToGrid w:val="0"/>
          <w:kern w:val="0"/>
          <w:szCs w:val="21"/>
        </w:rPr>
      </w:pPr>
      <w:r>
        <w:rPr>
          <w:rFonts w:hint="eastAsia" w:ascii="宋体" w:hAnsi="宋体"/>
          <w:snapToGrid w:val="0"/>
          <w:kern w:val="0"/>
          <w:szCs w:val="21"/>
        </w:rPr>
        <w:t>B. 公安机关根据刑事诉讼法明确授权实施的刑事侦查行为</w:t>
      </w:r>
    </w:p>
    <w:p>
      <w:pPr>
        <w:adjustRightInd w:val="0"/>
        <w:snapToGrid w:val="0"/>
        <w:rPr>
          <w:rFonts w:hint="eastAsia" w:ascii="宋体" w:hAnsi="宋体"/>
          <w:snapToGrid w:val="0"/>
          <w:kern w:val="0"/>
          <w:szCs w:val="21"/>
        </w:rPr>
      </w:pPr>
      <w:r>
        <w:rPr>
          <w:rFonts w:hint="eastAsia" w:ascii="宋体" w:hAnsi="宋体"/>
          <w:snapToGrid w:val="0"/>
          <w:kern w:val="0"/>
          <w:szCs w:val="21"/>
        </w:rPr>
        <w:t>C. 行政指导行为</w:t>
      </w:r>
    </w:p>
    <w:p>
      <w:pPr>
        <w:adjustRightInd w:val="0"/>
        <w:snapToGrid w:val="0"/>
        <w:rPr>
          <w:rFonts w:hint="eastAsia" w:ascii="宋体" w:hAnsi="宋体"/>
          <w:snapToGrid w:val="0"/>
          <w:kern w:val="0"/>
          <w:szCs w:val="21"/>
        </w:rPr>
      </w:pPr>
      <w:r>
        <w:rPr>
          <w:rFonts w:hint="eastAsia" w:ascii="宋体" w:hAnsi="宋体"/>
          <w:snapToGrid w:val="0"/>
          <w:kern w:val="0"/>
          <w:szCs w:val="21"/>
        </w:rPr>
        <w:t>D. 行政机关根据人民法院的协助执行通知书实施的行为</w:t>
      </w:r>
    </w:p>
    <w:p>
      <w:pPr>
        <w:adjustRightInd w:val="0"/>
        <w:snapToGrid w:val="0"/>
        <w:rPr>
          <w:rFonts w:hint="eastAsia" w:ascii="宋体" w:hAnsi="宋体"/>
          <w:snapToGrid w:val="0"/>
          <w:kern w:val="0"/>
          <w:szCs w:val="21"/>
        </w:rPr>
      </w:pPr>
      <w:r>
        <w:rPr>
          <w:rFonts w:hint="eastAsia" w:ascii="宋体" w:hAnsi="宋体"/>
          <w:snapToGrid w:val="0"/>
          <w:kern w:val="0"/>
          <w:szCs w:val="21"/>
        </w:rPr>
        <w:t>8. 因不动产提起的行政诉讼，有管辖权的人民法院是（     ）</w:t>
      </w:r>
    </w:p>
    <w:p>
      <w:pPr>
        <w:adjustRightInd w:val="0"/>
        <w:snapToGrid w:val="0"/>
        <w:rPr>
          <w:rFonts w:hint="eastAsia" w:ascii="宋体" w:hAnsi="宋体"/>
          <w:snapToGrid w:val="0"/>
          <w:kern w:val="0"/>
          <w:szCs w:val="21"/>
        </w:rPr>
      </w:pPr>
      <w:r>
        <w:rPr>
          <w:rFonts w:hint="eastAsia" w:ascii="宋体" w:hAnsi="宋体"/>
          <w:snapToGrid w:val="0"/>
          <w:kern w:val="0"/>
          <w:szCs w:val="21"/>
        </w:rPr>
        <w:t>A. 原告所在地人民法院      B. 被告所在地人民法院</w:t>
      </w:r>
    </w:p>
    <w:p>
      <w:pPr>
        <w:adjustRightInd w:val="0"/>
        <w:snapToGrid w:val="0"/>
        <w:rPr>
          <w:rFonts w:hint="eastAsia" w:ascii="宋体" w:hAnsi="宋体"/>
          <w:snapToGrid w:val="0"/>
          <w:kern w:val="0"/>
          <w:szCs w:val="21"/>
        </w:rPr>
      </w:pPr>
      <w:r>
        <w:rPr>
          <w:rFonts w:hint="eastAsia" w:ascii="宋体" w:hAnsi="宋体"/>
          <w:snapToGrid w:val="0"/>
          <w:kern w:val="0"/>
          <w:szCs w:val="21"/>
        </w:rPr>
        <w:t>C. 不动产所在地人民法院    D. 被告所在地人民法院或者不动产所在地人民法</w:t>
      </w:r>
    </w:p>
    <w:p>
      <w:pPr>
        <w:adjustRightInd w:val="0"/>
        <w:snapToGrid w:val="0"/>
        <w:rPr>
          <w:rFonts w:hint="eastAsia" w:ascii="宋体" w:hAnsi="宋体"/>
          <w:snapToGrid w:val="0"/>
          <w:kern w:val="0"/>
          <w:szCs w:val="21"/>
        </w:rPr>
      </w:pPr>
      <w:r>
        <w:rPr>
          <w:rFonts w:hint="eastAsia" w:ascii="宋体" w:hAnsi="宋体"/>
          <w:snapToGrid w:val="0"/>
          <w:kern w:val="0"/>
          <w:szCs w:val="21"/>
        </w:rPr>
        <w:t>9.吴某因打架被某公安机关予以拘留。吴某申请行政复议后，复议机关维持原处罚决定。吴某认为处罚过重，在拘留执行期间与民警发生争执，吴某不慎被殴打致死。下列人员中可以提起行政诉讼的是（     ）</w:t>
      </w:r>
    </w:p>
    <w:p>
      <w:pPr>
        <w:adjustRightInd w:val="0"/>
        <w:snapToGrid w:val="0"/>
        <w:rPr>
          <w:rFonts w:hint="eastAsia" w:ascii="宋体" w:hAnsi="宋体"/>
          <w:snapToGrid w:val="0"/>
          <w:kern w:val="0"/>
          <w:szCs w:val="21"/>
        </w:rPr>
      </w:pPr>
      <w:r>
        <w:rPr>
          <w:rFonts w:hint="eastAsia" w:ascii="宋体" w:hAnsi="宋体"/>
          <w:snapToGrid w:val="0"/>
          <w:kern w:val="0"/>
          <w:szCs w:val="21"/>
        </w:rPr>
        <w:t>A. 吴某的学生     B. 吴某的女友    C. 吴某的父亲    D. 人民检察院</w:t>
      </w:r>
    </w:p>
    <w:p>
      <w:pPr>
        <w:adjustRightInd w:val="0"/>
        <w:snapToGrid w:val="0"/>
        <w:rPr>
          <w:rFonts w:hint="eastAsia" w:ascii="宋体" w:hAnsi="宋体"/>
          <w:snapToGrid w:val="0"/>
          <w:kern w:val="0"/>
          <w:szCs w:val="21"/>
        </w:rPr>
      </w:pPr>
      <w:r>
        <w:rPr>
          <w:rFonts w:hint="eastAsia" w:ascii="宋体" w:hAnsi="宋体"/>
          <w:snapToGrid w:val="0"/>
          <w:kern w:val="0"/>
          <w:szCs w:val="21"/>
        </w:rPr>
        <w:t>10．某基层人民法院在审理一起行政案件时，认为当地省人民政府制定的规章与国务院某部委制定的规章不一致，应当如何处理？（　  　）</w:t>
      </w:r>
    </w:p>
    <w:p>
      <w:pPr>
        <w:adjustRightInd w:val="0"/>
        <w:snapToGrid w:val="0"/>
        <w:rPr>
          <w:rFonts w:hint="eastAsia" w:ascii="宋体" w:hAnsi="宋体"/>
          <w:snapToGrid w:val="0"/>
          <w:kern w:val="0"/>
          <w:szCs w:val="21"/>
        </w:rPr>
      </w:pPr>
      <w:r>
        <w:rPr>
          <w:rFonts w:hint="eastAsia" w:ascii="宋体" w:hAnsi="宋体"/>
          <w:snapToGrid w:val="0"/>
          <w:kern w:val="0"/>
          <w:szCs w:val="21"/>
        </w:rPr>
        <w:t>A. 由该基层人民法院送请国务院作出解释或者裁决</w:t>
      </w:r>
    </w:p>
    <w:p>
      <w:pPr>
        <w:adjustRightInd w:val="0"/>
        <w:snapToGrid w:val="0"/>
        <w:rPr>
          <w:rFonts w:hint="eastAsia" w:ascii="宋体" w:hAnsi="宋体"/>
          <w:snapToGrid w:val="0"/>
          <w:kern w:val="0"/>
          <w:szCs w:val="21"/>
        </w:rPr>
      </w:pPr>
      <w:r>
        <w:rPr>
          <w:rFonts w:hint="eastAsia" w:ascii="宋体" w:hAnsi="宋体"/>
          <w:snapToGrid w:val="0"/>
          <w:kern w:val="0"/>
          <w:szCs w:val="21"/>
        </w:rPr>
        <w:t>B. 由中级人民法院送请国务院作出解释或者裁决　</w:t>
      </w:r>
    </w:p>
    <w:p>
      <w:pPr>
        <w:adjustRightInd w:val="0"/>
        <w:snapToGrid w:val="0"/>
        <w:rPr>
          <w:rFonts w:hint="eastAsia" w:ascii="宋体" w:hAnsi="宋体"/>
          <w:snapToGrid w:val="0"/>
          <w:kern w:val="0"/>
          <w:szCs w:val="21"/>
        </w:rPr>
      </w:pPr>
      <w:r>
        <w:rPr>
          <w:rFonts w:hint="eastAsia" w:ascii="宋体" w:hAnsi="宋体"/>
          <w:snapToGrid w:val="0"/>
          <w:kern w:val="0"/>
          <w:szCs w:val="21"/>
        </w:rPr>
        <w:t>C. 由高级人民法院送请国务院作出解释或者裁决</w:t>
      </w:r>
    </w:p>
    <w:p>
      <w:pPr>
        <w:adjustRightInd w:val="0"/>
        <w:snapToGrid w:val="0"/>
        <w:rPr>
          <w:rFonts w:hint="eastAsia" w:ascii="宋体" w:hAnsi="宋体"/>
          <w:snapToGrid w:val="0"/>
          <w:kern w:val="0"/>
          <w:szCs w:val="21"/>
        </w:rPr>
      </w:pPr>
      <w:r>
        <w:rPr>
          <w:rFonts w:hint="eastAsia" w:ascii="宋体" w:hAnsi="宋体"/>
          <w:snapToGrid w:val="0"/>
          <w:kern w:val="0"/>
          <w:szCs w:val="21"/>
        </w:rPr>
        <w:t>D. 由最高人民法院送请国务院作出解释或者裁决</w:t>
      </w:r>
      <w:r>
        <w:rPr>
          <w:rFonts w:hint="eastAsia" w:ascii="宋体" w:hAnsi="宋体"/>
          <w:snapToGrid w:val="0"/>
          <w:kern w:val="0"/>
          <w:szCs w:val="21"/>
        </w:rPr>
        <w:br w:type="textWrapping"/>
      </w:r>
    </w:p>
    <w:p>
      <w:pPr>
        <w:adjustRightInd w:val="0"/>
        <w:snapToGrid w:val="0"/>
        <w:rPr>
          <w:rFonts w:hint="eastAsia" w:ascii="宋体" w:hAnsi="宋体" w:eastAsia="宋体"/>
          <w:b/>
          <w:bCs/>
          <w:snapToGrid w:val="0"/>
          <w:kern w:val="0"/>
          <w:szCs w:val="21"/>
          <w:lang w:eastAsia="zh-CN"/>
        </w:rPr>
      </w:pPr>
      <w:r>
        <w:rPr>
          <w:rFonts w:hint="eastAsia" w:ascii="宋体" w:hAnsi="宋体"/>
          <w:b/>
          <w:bCs/>
          <w:snapToGrid w:val="0"/>
          <w:kern w:val="0"/>
          <w:szCs w:val="21"/>
        </w:rPr>
        <w:t>二、多项选择题</w:t>
      </w:r>
      <w:r>
        <w:rPr>
          <w:rFonts w:hint="eastAsia" w:ascii="宋体" w:hAnsi="宋体"/>
          <w:b/>
          <w:bCs/>
          <w:snapToGrid w:val="0"/>
          <w:kern w:val="0"/>
          <w:szCs w:val="21"/>
          <w:lang w:val="en-US" w:eastAsia="zh-CN"/>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11.下列关于行政法的渊源的说法正确的是（      ）</w:t>
      </w:r>
    </w:p>
    <w:p>
      <w:pPr>
        <w:adjustRightInd w:val="0"/>
        <w:snapToGrid w:val="0"/>
        <w:rPr>
          <w:rFonts w:hint="eastAsia" w:ascii="宋体" w:hAnsi="宋体"/>
          <w:snapToGrid w:val="0"/>
          <w:kern w:val="0"/>
          <w:szCs w:val="21"/>
        </w:rPr>
      </w:pPr>
      <w:r>
        <w:rPr>
          <w:rFonts w:hint="eastAsia" w:ascii="宋体" w:hAnsi="宋体"/>
          <w:snapToGrid w:val="0"/>
          <w:kern w:val="0"/>
          <w:szCs w:val="21"/>
        </w:rPr>
        <w:t>A. 法律的效力高于行政法规          B. 行政法规的效力高于地方性法规</w:t>
      </w:r>
    </w:p>
    <w:p>
      <w:pPr>
        <w:adjustRightInd w:val="0"/>
        <w:snapToGrid w:val="0"/>
        <w:rPr>
          <w:rFonts w:hint="eastAsia" w:ascii="宋体" w:hAnsi="宋体"/>
          <w:snapToGrid w:val="0"/>
          <w:kern w:val="0"/>
          <w:szCs w:val="21"/>
        </w:rPr>
      </w:pPr>
      <w:r>
        <w:rPr>
          <w:rFonts w:hint="eastAsia" w:ascii="宋体" w:hAnsi="宋体"/>
          <w:snapToGrid w:val="0"/>
          <w:kern w:val="0"/>
          <w:szCs w:val="21"/>
        </w:rPr>
        <w:t>C. 部门规章的效力高于地方政府规章  D. 地方性法规的效力高于部门规章</w:t>
      </w:r>
    </w:p>
    <w:p>
      <w:pPr>
        <w:adjustRightInd w:val="0"/>
        <w:snapToGrid w:val="0"/>
        <w:rPr>
          <w:rFonts w:hint="eastAsia" w:ascii="宋体" w:hAnsi="宋体"/>
          <w:snapToGrid w:val="0"/>
          <w:kern w:val="0"/>
          <w:szCs w:val="21"/>
        </w:rPr>
      </w:pPr>
      <w:r>
        <w:rPr>
          <w:rFonts w:hint="eastAsia" w:ascii="宋体" w:hAnsi="宋体"/>
          <w:snapToGrid w:val="0"/>
          <w:kern w:val="0"/>
          <w:szCs w:val="21"/>
        </w:rPr>
        <w:t>12.关于行政处罚的适用，下列说法正确的是（      ）</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A.不满十四周岁的人有违法行为的，不予行政处罚。   </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B.七十周岁以上的人有违法行为的，不予行政处罚。   </w:t>
      </w:r>
    </w:p>
    <w:p>
      <w:pPr>
        <w:adjustRightInd w:val="0"/>
        <w:snapToGrid w:val="0"/>
        <w:rPr>
          <w:rFonts w:hint="eastAsia" w:ascii="宋体" w:hAnsi="宋体"/>
          <w:snapToGrid w:val="0"/>
          <w:kern w:val="0"/>
          <w:szCs w:val="21"/>
        </w:rPr>
      </w:pPr>
      <w:r>
        <w:rPr>
          <w:rFonts w:hint="eastAsia" w:ascii="宋体" w:hAnsi="宋体"/>
          <w:snapToGrid w:val="0"/>
          <w:kern w:val="0"/>
          <w:szCs w:val="21"/>
        </w:rPr>
        <w:t>C.精神病人在不能辨认或者不能控制自己行为时有违法行为的，不予行政处罚。</w:t>
      </w:r>
    </w:p>
    <w:p>
      <w:pPr>
        <w:adjustRightInd w:val="0"/>
        <w:snapToGrid w:val="0"/>
        <w:rPr>
          <w:rFonts w:hint="eastAsia" w:ascii="宋体" w:hAnsi="宋体"/>
          <w:snapToGrid w:val="0"/>
          <w:kern w:val="0"/>
          <w:szCs w:val="21"/>
        </w:rPr>
      </w:pPr>
      <w:r>
        <w:rPr>
          <w:rFonts w:hint="eastAsia" w:ascii="宋体" w:hAnsi="宋体"/>
          <w:snapToGrid w:val="0"/>
          <w:kern w:val="0"/>
          <w:szCs w:val="21"/>
        </w:rPr>
        <w:t>D.怀孕或者哺乳自己不满一周岁婴儿的人有违法行为的，不予行政处罚。</w:t>
      </w:r>
    </w:p>
    <w:p>
      <w:pPr>
        <w:adjustRightInd w:val="0"/>
        <w:snapToGrid w:val="0"/>
        <w:rPr>
          <w:rFonts w:hint="eastAsia" w:ascii="宋体" w:hAnsi="宋体"/>
          <w:snapToGrid w:val="0"/>
          <w:kern w:val="0"/>
          <w:szCs w:val="21"/>
        </w:rPr>
      </w:pPr>
      <w:r>
        <w:rPr>
          <w:rFonts w:hint="eastAsia" w:ascii="宋体" w:hAnsi="宋体"/>
          <w:snapToGrid w:val="0"/>
          <w:kern w:val="0"/>
          <w:szCs w:val="21"/>
        </w:rPr>
        <w:t>13.对下列哪些行政机关作出的具体行政行为不服，可以向该部门的本级人民政府申请行政复议，也可以向上一级主管部门申请行政复议？（       ）</w:t>
      </w:r>
    </w:p>
    <w:p>
      <w:pPr>
        <w:adjustRightInd w:val="0"/>
        <w:snapToGrid w:val="0"/>
        <w:rPr>
          <w:rFonts w:hint="eastAsia" w:ascii="宋体" w:hAnsi="宋体"/>
          <w:snapToGrid w:val="0"/>
          <w:kern w:val="0"/>
          <w:szCs w:val="21"/>
        </w:rPr>
      </w:pPr>
      <w:r>
        <w:rPr>
          <w:rFonts w:hint="eastAsia" w:ascii="宋体" w:hAnsi="宋体"/>
          <w:snapToGrid w:val="0"/>
          <w:kern w:val="0"/>
          <w:szCs w:val="21"/>
        </w:rPr>
        <w:t>A. 天津市司法局    B. 天津市公安局C. 天津市国家安全局    D. 天津市国税局</w:t>
      </w:r>
    </w:p>
    <w:p>
      <w:pPr>
        <w:adjustRightInd w:val="0"/>
        <w:snapToGrid w:val="0"/>
        <w:rPr>
          <w:rFonts w:hint="eastAsia" w:ascii="宋体" w:hAnsi="宋体"/>
          <w:snapToGrid w:val="0"/>
          <w:kern w:val="0"/>
          <w:szCs w:val="21"/>
        </w:rPr>
      </w:pPr>
      <w:r>
        <w:rPr>
          <w:rFonts w:hint="eastAsia" w:ascii="宋体" w:hAnsi="宋体"/>
          <w:snapToGrid w:val="0"/>
          <w:kern w:val="0"/>
          <w:szCs w:val="21"/>
        </w:rPr>
        <w:t>14.对行政复议机关作出的变更决定不服，有权提起行政诉讼的是（        ）</w:t>
      </w:r>
    </w:p>
    <w:p>
      <w:pPr>
        <w:adjustRightInd w:val="0"/>
        <w:snapToGrid w:val="0"/>
        <w:rPr>
          <w:rFonts w:hint="eastAsia" w:ascii="宋体" w:hAnsi="宋体"/>
          <w:snapToGrid w:val="0"/>
          <w:kern w:val="0"/>
          <w:szCs w:val="21"/>
        </w:rPr>
      </w:pPr>
      <w:r>
        <w:rPr>
          <w:rFonts w:hint="eastAsia" w:ascii="宋体" w:hAnsi="宋体"/>
          <w:snapToGrid w:val="0"/>
          <w:kern w:val="0"/>
          <w:szCs w:val="21"/>
        </w:rPr>
        <w:t>A.行政复议申请人              B.行政复议被申请人</w:t>
      </w:r>
    </w:p>
    <w:p>
      <w:pPr>
        <w:adjustRightInd w:val="0"/>
        <w:snapToGrid w:val="0"/>
        <w:rPr>
          <w:rFonts w:hint="eastAsia" w:ascii="宋体" w:hAnsi="宋体"/>
          <w:snapToGrid w:val="0"/>
          <w:kern w:val="0"/>
          <w:szCs w:val="21"/>
        </w:rPr>
      </w:pPr>
      <w:r>
        <w:rPr>
          <w:rFonts w:hint="eastAsia" w:ascii="宋体" w:hAnsi="宋体"/>
          <w:snapToGrid w:val="0"/>
          <w:kern w:val="0"/>
          <w:szCs w:val="21"/>
        </w:rPr>
        <w:t>C.行政复议第三人（行政相对人）D.其他与行政复议决定有利害关系的行政相对人</w:t>
      </w:r>
    </w:p>
    <w:p>
      <w:pPr>
        <w:adjustRightInd w:val="0"/>
        <w:snapToGrid w:val="0"/>
        <w:rPr>
          <w:rFonts w:hint="eastAsia" w:ascii="宋体" w:hAnsi="宋体"/>
          <w:snapToGrid w:val="0"/>
          <w:kern w:val="0"/>
          <w:szCs w:val="21"/>
        </w:rPr>
      </w:pPr>
      <w:r>
        <w:rPr>
          <w:rFonts w:hint="eastAsia" w:ascii="宋体" w:hAnsi="宋体"/>
          <w:snapToGrid w:val="0"/>
          <w:kern w:val="0"/>
          <w:szCs w:val="21"/>
        </w:rPr>
        <w:t>15.具备下列哪些情形之一的，应当裁定不予受理？（      ）</w:t>
      </w:r>
    </w:p>
    <w:p>
      <w:pPr>
        <w:adjustRightInd w:val="0"/>
        <w:snapToGrid w:val="0"/>
        <w:rPr>
          <w:rFonts w:hint="eastAsia" w:ascii="宋体" w:hAnsi="宋体"/>
          <w:snapToGrid w:val="0"/>
          <w:kern w:val="0"/>
          <w:szCs w:val="21"/>
        </w:rPr>
      </w:pPr>
      <w:r>
        <w:rPr>
          <w:rFonts w:hint="eastAsia" w:ascii="宋体" w:hAnsi="宋体"/>
          <w:snapToGrid w:val="0"/>
          <w:kern w:val="0"/>
          <w:szCs w:val="21"/>
        </w:rPr>
        <w:t>A. 起诉人无原告诉讼主体资格的       B. 起诉超过法定期限且无正当理由的</w:t>
      </w:r>
    </w:p>
    <w:p>
      <w:pPr>
        <w:adjustRightInd w:val="0"/>
        <w:snapToGrid w:val="0"/>
        <w:rPr>
          <w:rFonts w:hint="eastAsia" w:ascii="宋体" w:hAnsi="宋体"/>
          <w:snapToGrid w:val="0"/>
          <w:kern w:val="0"/>
          <w:szCs w:val="21"/>
        </w:rPr>
      </w:pPr>
      <w:r>
        <w:rPr>
          <w:rFonts w:hint="eastAsia" w:ascii="宋体" w:hAnsi="宋体"/>
          <w:snapToGrid w:val="0"/>
          <w:kern w:val="0"/>
          <w:szCs w:val="21"/>
        </w:rPr>
        <w:t>C. 法律、法规规定行政复议为提起诉讼必经程序而未申请复议的</w:t>
      </w:r>
    </w:p>
    <w:p>
      <w:pPr>
        <w:adjustRightInd w:val="0"/>
        <w:snapToGrid w:val="0"/>
        <w:rPr>
          <w:rFonts w:hint="eastAsia" w:ascii="宋体" w:hAnsi="宋体"/>
          <w:snapToGrid w:val="0"/>
          <w:kern w:val="0"/>
          <w:szCs w:val="21"/>
        </w:rPr>
      </w:pPr>
      <w:r>
        <w:rPr>
          <w:rFonts w:hint="eastAsia" w:ascii="宋体" w:hAnsi="宋体"/>
          <w:snapToGrid w:val="0"/>
          <w:kern w:val="0"/>
          <w:szCs w:val="21"/>
        </w:rPr>
        <w:t>D. 起诉被告不作为理由不能成立的</w:t>
      </w:r>
      <w:r>
        <w:rPr>
          <w:rFonts w:hint="eastAsia" w:ascii="宋体" w:hAnsi="宋体"/>
          <w:snapToGrid w:val="0"/>
          <w:kern w:val="0"/>
          <w:szCs w:val="21"/>
        </w:rPr>
        <w:br w:type="textWrapping"/>
      </w:r>
    </w:p>
    <w:p>
      <w:pPr>
        <w:adjustRightInd w:val="0"/>
        <w:snapToGrid w:val="0"/>
        <w:rPr>
          <w:rFonts w:hint="eastAsia" w:ascii="宋体" w:hAnsi="宋体" w:eastAsia="宋体"/>
          <w:b/>
          <w:bCs/>
          <w:snapToGrid w:val="0"/>
          <w:kern w:val="0"/>
          <w:szCs w:val="21"/>
          <w:lang w:eastAsia="zh-CN"/>
        </w:rPr>
      </w:pPr>
      <w:r>
        <w:rPr>
          <w:rFonts w:hint="eastAsia" w:ascii="宋体" w:hAnsi="宋体"/>
          <w:b/>
          <w:bCs/>
          <w:snapToGrid w:val="0"/>
          <w:kern w:val="0"/>
          <w:szCs w:val="21"/>
        </w:rPr>
        <w:t>三、名词解释题</w:t>
      </w:r>
      <w:r>
        <w:rPr>
          <w:rFonts w:hint="eastAsia" w:ascii="宋体" w:hAnsi="宋体"/>
          <w:b/>
          <w:bCs/>
          <w:snapToGrid w:val="0"/>
          <w:kern w:val="0"/>
          <w:szCs w:val="21"/>
          <w:lang w:val="en-US" w:eastAsia="zh-CN"/>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16.行政行为</w:t>
      </w:r>
    </w:p>
    <w:p>
      <w:pPr>
        <w:adjustRightInd w:val="0"/>
        <w:snapToGrid w:val="0"/>
        <w:rPr>
          <w:rFonts w:hint="eastAsia" w:ascii="宋体" w:hAnsi="宋体"/>
          <w:snapToGrid w:val="0"/>
          <w:kern w:val="0"/>
          <w:szCs w:val="21"/>
        </w:rPr>
      </w:pPr>
      <w:r>
        <w:rPr>
          <w:rFonts w:hint="eastAsia" w:ascii="宋体" w:hAnsi="宋体"/>
          <w:snapToGrid w:val="0"/>
          <w:kern w:val="0"/>
          <w:szCs w:val="21"/>
        </w:rPr>
        <w:t>17.行政主体</w:t>
      </w:r>
    </w:p>
    <w:p>
      <w:pPr>
        <w:adjustRightInd w:val="0"/>
        <w:snapToGrid w:val="0"/>
        <w:rPr>
          <w:rFonts w:hint="eastAsia" w:ascii="宋体" w:hAnsi="宋体"/>
          <w:snapToGrid w:val="0"/>
          <w:kern w:val="0"/>
          <w:szCs w:val="21"/>
        </w:rPr>
      </w:pPr>
      <w:r>
        <w:rPr>
          <w:rFonts w:hint="eastAsia" w:ascii="宋体" w:hAnsi="宋体"/>
          <w:snapToGrid w:val="0"/>
          <w:kern w:val="0"/>
          <w:szCs w:val="21"/>
        </w:rPr>
        <w:t>18.公务员</w:t>
      </w:r>
    </w:p>
    <w:p>
      <w:pPr>
        <w:adjustRightInd w:val="0"/>
        <w:snapToGrid w:val="0"/>
        <w:rPr>
          <w:rFonts w:hint="eastAsia" w:ascii="宋体" w:hAnsi="宋体"/>
          <w:snapToGrid w:val="0"/>
          <w:kern w:val="0"/>
          <w:szCs w:val="21"/>
        </w:rPr>
      </w:pPr>
      <w:r>
        <w:rPr>
          <w:rFonts w:hint="eastAsia" w:ascii="宋体" w:hAnsi="宋体"/>
          <w:snapToGrid w:val="0"/>
          <w:kern w:val="0"/>
          <w:szCs w:val="21"/>
        </w:rPr>
        <w:t>19.行政诉讼</w:t>
      </w:r>
    </w:p>
    <w:p>
      <w:pPr>
        <w:adjustRightInd w:val="0"/>
        <w:snapToGrid w:val="0"/>
        <w:rPr>
          <w:rFonts w:hint="eastAsia" w:ascii="宋体" w:hAnsi="宋体"/>
          <w:snapToGrid w:val="0"/>
          <w:kern w:val="0"/>
          <w:szCs w:val="21"/>
        </w:rPr>
      </w:pPr>
      <w:r>
        <w:rPr>
          <w:rFonts w:hint="eastAsia" w:ascii="宋体" w:hAnsi="宋体"/>
          <w:snapToGrid w:val="0"/>
          <w:kern w:val="0"/>
          <w:szCs w:val="21"/>
        </w:rPr>
        <w:t>20.行政补偿</w:t>
      </w:r>
    </w:p>
    <w:p>
      <w:pPr>
        <w:adjustRightInd w:val="0"/>
        <w:snapToGrid w:val="0"/>
        <w:rPr>
          <w:rFonts w:hint="eastAsia" w:ascii="宋体" w:hAnsi="宋体" w:eastAsia="宋体"/>
          <w:b/>
          <w:bCs/>
          <w:snapToGrid w:val="0"/>
          <w:kern w:val="0"/>
          <w:szCs w:val="21"/>
          <w:lang w:eastAsia="zh-CN"/>
        </w:rPr>
      </w:pPr>
      <w:r>
        <w:rPr>
          <w:rFonts w:hint="eastAsia" w:ascii="宋体" w:hAnsi="宋体"/>
          <w:b/>
          <w:bCs/>
          <w:snapToGrid w:val="0"/>
          <w:kern w:val="0"/>
          <w:szCs w:val="21"/>
        </w:rPr>
        <w:t>四、简答题</w:t>
      </w:r>
      <w:r>
        <w:rPr>
          <w:rFonts w:hint="eastAsia" w:ascii="宋体" w:hAnsi="宋体"/>
          <w:b/>
          <w:bCs/>
          <w:snapToGrid w:val="0"/>
          <w:kern w:val="0"/>
          <w:szCs w:val="21"/>
          <w:lang w:val="en-US" w:eastAsia="zh-CN"/>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21.简述识别公务员的公务行为与个人行为的主要因素</w:t>
      </w:r>
    </w:p>
    <w:p>
      <w:pPr>
        <w:adjustRightInd w:val="0"/>
        <w:snapToGrid w:val="0"/>
        <w:rPr>
          <w:rFonts w:hint="eastAsia" w:ascii="宋体" w:hAnsi="宋体"/>
          <w:snapToGrid w:val="0"/>
          <w:kern w:val="0"/>
          <w:szCs w:val="21"/>
        </w:rPr>
      </w:pPr>
      <w:r>
        <w:rPr>
          <w:rFonts w:hint="eastAsia" w:ascii="宋体" w:hAnsi="宋体"/>
          <w:snapToGrid w:val="0"/>
          <w:kern w:val="0"/>
          <w:szCs w:val="21"/>
        </w:rPr>
        <w:t>22.简述抽象行政行为与具体行政行为的区别</w:t>
      </w:r>
    </w:p>
    <w:p>
      <w:pPr>
        <w:adjustRightInd w:val="0"/>
        <w:snapToGrid w:val="0"/>
        <w:rPr>
          <w:rFonts w:hint="eastAsia" w:ascii="宋体" w:hAnsi="宋体"/>
          <w:snapToGrid w:val="0"/>
          <w:kern w:val="0"/>
          <w:szCs w:val="21"/>
        </w:rPr>
      </w:pPr>
      <w:r>
        <w:rPr>
          <w:rFonts w:hint="eastAsia" w:ascii="宋体" w:hAnsi="宋体"/>
          <w:snapToGrid w:val="0"/>
          <w:kern w:val="0"/>
          <w:szCs w:val="21"/>
        </w:rPr>
        <w:t>23.简述行政立法的制定机关</w:t>
      </w:r>
    </w:p>
    <w:p>
      <w:pPr>
        <w:adjustRightInd w:val="0"/>
        <w:snapToGrid w:val="0"/>
        <w:rPr>
          <w:rFonts w:hint="eastAsia" w:ascii="宋体" w:hAnsi="宋体"/>
          <w:snapToGrid w:val="0"/>
          <w:kern w:val="0"/>
          <w:szCs w:val="21"/>
        </w:rPr>
      </w:pPr>
      <w:r>
        <w:rPr>
          <w:rFonts w:hint="eastAsia" w:ascii="宋体" w:hAnsi="宋体"/>
          <w:snapToGrid w:val="0"/>
          <w:kern w:val="0"/>
          <w:szCs w:val="21"/>
        </w:rPr>
        <w:t>24.简述行政处罚法的基本原则</w:t>
      </w:r>
    </w:p>
    <w:p>
      <w:pPr>
        <w:adjustRightInd w:val="0"/>
        <w:snapToGrid w:val="0"/>
        <w:rPr>
          <w:rFonts w:hint="eastAsia" w:ascii="宋体" w:hAnsi="宋体"/>
          <w:snapToGrid w:val="0"/>
          <w:kern w:val="0"/>
          <w:szCs w:val="21"/>
        </w:rPr>
      </w:pPr>
      <w:r>
        <w:rPr>
          <w:rFonts w:hint="eastAsia" w:ascii="宋体" w:hAnsi="宋体"/>
          <w:snapToGrid w:val="0"/>
          <w:kern w:val="0"/>
          <w:szCs w:val="21"/>
        </w:rPr>
        <w:t>25.简述适用确认（被诉具体行政行为）违法判决的情形</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w:t>
      </w:r>
    </w:p>
    <w:p>
      <w:pPr>
        <w:adjustRightInd w:val="0"/>
        <w:snapToGrid w:val="0"/>
        <w:rPr>
          <w:rFonts w:hint="eastAsia" w:ascii="宋体" w:hAnsi="宋体" w:eastAsia="宋体"/>
          <w:b/>
          <w:bCs/>
          <w:snapToGrid w:val="0"/>
          <w:kern w:val="0"/>
          <w:szCs w:val="21"/>
          <w:lang w:eastAsia="zh-CN"/>
        </w:rPr>
      </w:pPr>
      <w:r>
        <w:rPr>
          <w:rFonts w:hint="eastAsia" w:ascii="宋体" w:hAnsi="宋体"/>
          <w:b/>
          <w:bCs/>
          <w:snapToGrid w:val="0"/>
          <w:kern w:val="0"/>
          <w:szCs w:val="21"/>
        </w:rPr>
        <w:t>五、案例分析题</w:t>
      </w:r>
      <w:r>
        <w:rPr>
          <w:rFonts w:hint="eastAsia" w:ascii="宋体" w:hAnsi="宋体"/>
          <w:b/>
          <w:bCs/>
          <w:snapToGrid w:val="0"/>
          <w:kern w:val="0"/>
          <w:szCs w:val="21"/>
          <w:lang w:val="en-US" w:eastAsia="zh-CN"/>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26．案例（1）</w:t>
      </w:r>
    </w:p>
    <w:p>
      <w:pPr>
        <w:adjustRightInd w:val="0"/>
        <w:snapToGrid w:val="0"/>
        <w:rPr>
          <w:rFonts w:hint="eastAsia" w:ascii="宋体" w:hAnsi="宋体"/>
          <w:snapToGrid w:val="0"/>
          <w:kern w:val="0"/>
          <w:szCs w:val="21"/>
        </w:rPr>
      </w:pPr>
      <w:r>
        <w:rPr>
          <w:rFonts w:hint="eastAsia" w:ascii="宋体" w:hAnsi="宋体"/>
          <w:snapToGrid w:val="0"/>
          <w:kern w:val="0"/>
          <w:szCs w:val="21"/>
        </w:rPr>
        <w:t>2004年10月20日，天津市工商局北辰分局市场科的工作人员张某、王某和天津市地税局北辰分局征收科的工作人员李某、赵某联合对某农贸市场进行执法大检查。李某、赵某发现E公司自2004年7月至2004年9月，偷漏税款达5000元，当场作出罚款5000元的处罚，并责令E公司补缴税款5000元。随后，张某、王某发现E公司经营假冒伪劣商品，当场作出罚款3000元、吊销营业执照的处罚。E公司的法定代表人钱某要求张某、王某举行听证，张某、王某告知钱某现在局里正在对办公楼进行翻新，没有地方举行听证，且E公司经营假冒伪劣商品的违法事实清楚，证据确凿，举行听证还是这个结果，拒绝举行听证。E公司不服，遂向天津市北辰区人民法院提起行政诉讼。</w:t>
      </w:r>
    </w:p>
    <w:p>
      <w:pPr>
        <w:adjustRightInd w:val="0"/>
        <w:snapToGrid w:val="0"/>
        <w:rPr>
          <w:rFonts w:hint="eastAsia" w:ascii="宋体" w:hAnsi="宋体"/>
          <w:snapToGrid w:val="0"/>
          <w:kern w:val="0"/>
          <w:szCs w:val="21"/>
        </w:rPr>
      </w:pPr>
      <w:r>
        <w:rPr>
          <w:rFonts w:hint="eastAsia" w:ascii="宋体" w:hAnsi="宋体"/>
          <w:snapToGrid w:val="0"/>
          <w:kern w:val="0"/>
          <w:szCs w:val="21"/>
        </w:rPr>
        <w:t>请问：</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（1）李某、赵某和张某、王某当场对E公司作出处罚是否合法？为什么？</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（2）张某、王某拒绝E公司的法定代表人钱某的听证请求是否合法？为什么？</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（3）张某、王某对E公司作出罚款3000元、吊销营业执照的处罚，是否违反《行政处罚法》关于“一事不再罚”的规定？为什么？</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（4）E公司对上述行政处罚均不服，是否可以以天津市工商局北辰分局和天津市地税局北辰分局为共同被告， 向人民法院提起行政诉讼？为什么？</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27．案例（2）</w:t>
      </w:r>
    </w:p>
    <w:p>
      <w:pPr>
        <w:adjustRightInd w:val="0"/>
        <w:snapToGrid w:val="0"/>
        <w:rPr>
          <w:rFonts w:hint="eastAsia" w:ascii="宋体" w:hAnsi="宋体"/>
          <w:snapToGrid w:val="0"/>
          <w:kern w:val="0"/>
          <w:szCs w:val="21"/>
        </w:rPr>
      </w:pPr>
      <w:r>
        <w:rPr>
          <w:rFonts w:hint="eastAsia" w:ascii="宋体" w:hAnsi="宋体"/>
          <w:snapToGrid w:val="0"/>
          <w:kern w:val="0"/>
          <w:szCs w:val="21"/>
        </w:rPr>
        <w:t>2005年3月10日，某直辖市甲、乙、丙三名律师决定出资合伙成立“新津律师事务所”。2005年5月16日，甲、乙、丙三人向该市司法局口头申请成立律师事务所并提供了律师事务所章程、发起人名单、简历、身份证明、资金证明等有关申请材料。市司法局受理申请的工作人员李某见甲满头白发，特别提醒三人，根据该市政府规章的规定，设立合伙制律师事务所，发起人的年龄均不得超过60岁。甲告知李某，他们三人的年龄均不到60岁。于是，李某将一份市司法局专门设计的律师事务所设立申请书格式文本交给三人填写。三人填写完毕后，交给李某。李某当即受理了申请，并出具了书面的受理凭证。后市司法局指派工作人员张某对申请材料进行审查，张某发现三人提供的资金证明系伪造，但考虑到甲曾经当过自己的老师且对自己很好，于是隐瞒了真实情况，在法定期限内作出了准予设立律师事务所的决定并向甲、乙、丙三人颁发了《律师事务所执业证书》。2005年12月27日，市司法局发现资金证明系伪造。此间，甲、乙、丙三人已付办公场所租金2万元，装修费3万元。</w:t>
      </w:r>
    </w:p>
    <w:p>
      <w:pPr>
        <w:adjustRightInd w:val="0"/>
        <w:snapToGrid w:val="0"/>
        <w:rPr>
          <w:rFonts w:hint="eastAsia" w:ascii="宋体" w:hAnsi="宋体"/>
          <w:snapToGrid w:val="0"/>
          <w:kern w:val="0"/>
          <w:szCs w:val="21"/>
        </w:rPr>
      </w:pPr>
      <w:r>
        <w:rPr>
          <w:rFonts w:hint="eastAsia" w:ascii="宋体" w:hAnsi="宋体"/>
          <w:snapToGrid w:val="0"/>
          <w:kern w:val="0"/>
          <w:szCs w:val="21"/>
        </w:rPr>
        <w:t>请问：</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（1）该市政府规章规定“设立合伙制律师事务所，发起人的年龄均不得超过60岁”的条件是否合法？为什么？（注：《律师法》未对发起人的年龄作出任何限制性规定）</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（2）市司法局在作出是否准予甲、乙、丙三名律师设立律师事务所的决定之前，是否应当听取甲、乙、丙三人的意见？为什么？</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3）《律师法》（2001年修正）第19条规定，申请设立律师事务所的，司法行政机关应当自收到申请之日起30日内作出是否颁发律师事务所执业证书的决定。请问，市司法局在作出律师事务所执业许可决定时，是否应当适用《律师法》的上述规定？为什么？</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 xml:space="preserve">（4）2005年12月27日，市司法局发现资金证明系伪造后，是否应当撤销“新津律师事务所”的《律师事务所执业证书》？为什么?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（5）如果市司法局发现资金证明系伪造后，决定撤销“新津律师事务所”的《律师事务所执业证书》，是否需要赔偿甲、乙、丙三名律师的损失？为什么？</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28．案例（3）</w:t>
      </w:r>
    </w:p>
    <w:p>
      <w:pPr>
        <w:adjustRightInd w:val="0"/>
        <w:snapToGrid w:val="0"/>
        <w:rPr>
          <w:rFonts w:hint="eastAsia" w:ascii="宋体" w:hAnsi="宋体"/>
          <w:snapToGrid w:val="0"/>
          <w:kern w:val="0"/>
          <w:szCs w:val="21"/>
        </w:rPr>
      </w:pPr>
      <w:r>
        <w:rPr>
          <w:rFonts w:hint="eastAsia" w:ascii="宋体" w:hAnsi="宋体"/>
          <w:snapToGrid w:val="0"/>
          <w:kern w:val="0"/>
          <w:szCs w:val="21"/>
        </w:rPr>
        <w:t>2004年8月，某地区行署为发展本地经济、保护本地区的烟酒业的发展作出一项规定，凡是外地生产的烟酒进入本地销售，必须取得销售地的县级工商行政机关的销售许可，未经许可擅自销售者，罚款3万元。F公司是该地区甲县的一家大百货商场，在未获得许可的情况下,销售外地区的名烟名酒，于是甲县人民政府对F公司处以罚款3万元。F公司对甲县人民政府作出的行政处罚不服，欲寻求法律救济</w:t>
      </w:r>
    </w:p>
    <w:p>
      <w:pPr>
        <w:adjustRightInd w:val="0"/>
        <w:snapToGrid w:val="0"/>
        <w:rPr>
          <w:rFonts w:hint="eastAsia" w:ascii="宋体" w:hAnsi="宋体"/>
          <w:snapToGrid w:val="0"/>
          <w:kern w:val="0"/>
          <w:szCs w:val="21"/>
        </w:rPr>
      </w:pPr>
      <w:r>
        <w:rPr>
          <w:rFonts w:hint="eastAsia" w:ascii="宋体" w:hAnsi="宋体"/>
          <w:snapToGrid w:val="0"/>
          <w:kern w:val="0"/>
          <w:szCs w:val="21"/>
        </w:rPr>
        <w:t>请问：</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（1）F公司若申请行政复议，应当向谁申请行政复议？</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（2）F公司若申请行政复议，能否一并对地区行署的规定提出审查请求？为什么？</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（3）F公司若申请行政复议，行政复议机关受理后应当作出何种行政复议决定？为什么？</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（4）F公司对上述处罚不服，是否可以直接提起行政诉讼？为什么？</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29．案例（4）</w:t>
      </w:r>
    </w:p>
    <w:p>
      <w:pPr>
        <w:adjustRightInd w:val="0"/>
        <w:snapToGrid w:val="0"/>
        <w:rPr>
          <w:rFonts w:hint="eastAsia" w:ascii="宋体" w:hAnsi="宋体"/>
          <w:snapToGrid w:val="0"/>
          <w:kern w:val="0"/>
          <w:szCs w:val="21"/>
        </w:rPr>
      </w:pPr>
      <w:r>
        <w:rPr>
          <w:rFonts w:hint="eastAsia" w:ascii="宋体" w:hAnsi="宋体"/>
          <w:snapToGrid w:val="0"/>
          <w:kern w:val="0"/>
          <w:szCs w:val="21"/>
        </w:rPr>
        <w:t>2004年8月27日晚，王某因交通问题与李某发生纠纷，后遭李某殴打。王某即向附近的北京市公安局朝阳分局安贞里派出所报警，该派出所民警立即赶赴现场，经初步调查，李某对殴打王某的事实予以认可。当日，安贞里派出所决定立案，并传唤李某接受讯问，李某在讯问中对殴打王某并致其受伤的事实供认不讳，并表示悔过，提出愿意赔偿王某的经济损失。次日，安贞里派出所民警又对王某进行了询问。2004年8月29，朝阳分局法医检验鉴定所对王某的伤情作出“王某所受损伤属于轻微伤”的鉴定。2004年9月9日，安贞里派出所作出给予李某罚款50元的处罚，在向李某宣告后即将行政处罚决定书当场交付李某。同日，安贞里派出所将上述行政处罚决定书副本抄送王某。王某收到上述行政处罚决定书副本后，认为派出所对李某的处罚过轻，遂向有关行政机关申请行政复议。行政复议机关受理后，经审查认为安贞里派出所作出的行政处罚合法、适当，决定予以维持。王某仍不服，决定向人民法院提起行政诉讼，以保护自己的合法权益。</w:t>
      </w:r>
    </w:p>
    <w:p>
      <w:pPr>
        <w:adjustRightInd w:val="0"/>
        <w:snapToGrid w:val="0"/>
        <w:rPr>
          <w:rFonts w:hint="eastAsia" w:ascii="宋体" w:hAnsi="宋体"/>
          <w:snapToGrid w:val="0"/>
          <w:kern w:val="0"/>
          <w:szCs w:val="21"/>
        </w:rPr>
      </w:pPr>
      <w:r>
        <w:rPr>
          <w:rFonts w:hint="eastAsia" w:ascii="宋体" w:hAnsi="宋体"/>
          <w:snapToGrid w:val="0"/>
          <w:kern w:val="0"/>
          <w:szCs w:val="21"/>
        </w:rPr>
        <w:t>请问：</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（1）王某对朝阳分局安贞里派出所作出的上述行政处罚决定不服，最迟应当在哪一天申请行政复议？为什么？</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（2）王某申请行政复议时应当以谁为被申请人？行政复议机关应当是谁？</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（3）王某应当以谁为被告向人民法院提起行政诉讼？为什么？</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（4）王某应当向哪个法院提起行政诉讼？</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（5）如果王某是一美籍华人，其是否可以其中国同学（非律师）委托代为诉讼？</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（6）法院受理此案后，应当如何判决？为什么？</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jc w:val="center"/>
        <w:rPr>
          <w:rFonts w:hint="eastAsia" w:ascii="宋体" w:hAnsi="宋体"/>
          <w:snapToGrid w:val="0"/>
          <w:kern w:val="0"/>
          <w:szCs w:val="21"/>
          <w:lang w:eastAsia="zh-CN"/>
        </w:rPr>
      </w:pPr>
      <w:r>
        <w:rPr>
          <w:rFonts w:hint="eastAsia" w:ascii="宋体" w:hAnsi="宋体"/>
          <w:snapToGrid w:val="0"/>
          <w:kern w:val="0"/>
          <w:sz w:val="28"/>
          <w:szCs w:val="28"/>
        </w:rPr>
        <w:t>行政法与行政诉讼复习资料</w:t>
      </w:r>
      <w:r>
        <w:rPr>
          <w:rFonts w:hint="eastAsia" w:ascii="宋体" w:hAnsi="宋体"/>
          <w:snapToGrid w:val="0"/>
          <w:kern w:val="0"/>
          <w:sz w:val="28"/>
          <w:szCs w:val="28"/>
          <w:lang w:eastAsia="zh-CN"/>
        </w:rPr>
        <w:t>答案</w:t>
      </w:r>
    </w:p>
    <w:p>
      <w:pPr>
        <w:adjustRightInd w:val="0"/>
        <w:snapToGrid w:val="0"/>
        <w:rPr>
          <w:rFonts w:hint="eastAsia" w:ascii="宋体" w:hAnsi="宋体"/>
          <w:snapToGrid w:val="0"/>
          <w:kern w:val="0"/>
          <w:szCs w:val="21"/>
          <w:lang w:eastAsia="zh-CN"/>
        </w:rPr>
      </w:pP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一、单项选择题</w:t>
      </w:r>
      <w:r>
        <w:rPr>
          <w:rFonts w:hint="eastAsia" w:ascii="宋体" w:hAnsi="宋体"/>
          <w:snapToGrid w:val="0"/>
          <w:kern w:val="0"/>
          <w:szCs w:val="21"/>
          <w:lang w:val="en-US" w:eastAsia="zh-CN"/>
        </w:rPr>
        <w:t xml:space="preserve"> </w:t>
      </w:r>
    </w:p>
    <w:p>
      <w:pPr>
        <w:adjustRightInd w:val="0"/>
        <w:snapToGrid w:val="0"/>
        <w:rPr>
          <w:rFonts w:hint="eastAsia" w:ascii="宋体" w:hAnsi="宋体"/>
          <w:snapToGrid w:val="0"/>
          <w:kern w:val="0"/>
          <w:szCs w:val="21"/>
          <w:lang w:val="en-US" w:eastAsia="zh-CN"/>
        </w:rPr>
      </w:pPr>
      <w:r>
        <w:rPr>
          <w:rFonts w:hint="eastAsia" w:ascii="宋体" w:hAnsi="宋体"/>
          <w:snapToGrid w:val="0"/>
          <w:kern w:val="0"/>
          <w:szCs w:val="21"/>
        </w:rPr>
        <w:t xml:space="preserve">1-5AACDC </w:t>
      </w:r>
      <w:r>
        <w:rPr>
          <w:rFonts w:hint="eastAsia" w:ascii="宋体" w:hAnsi="宋体"/>
          <w:snapToGrid w:val="0"/>
          <w:kern w:val="0"/>
          <w:szCs w:val="21"/>
          <w:lang w:val="en-US" w:eastAsia="zh-CN"/>
        </w:rPr>
        <w:t xml:space="preserve">  </w:t>
      </w:r>
      <w:r>
        <w:rPr>
          <w:rFonts w:hint="eastAsia" w:ascii="宋体" w:hAnsi="宋体"/>
          <w:snapToGrid w:val="0"/>
          <w:kern w:val="0"/>
          <w:szCs w:val="21"/>
        </w:rPr>
        <w:t xml:space="preserve"> 6</w:t>
      </w:r>
      <w:r>
        <w:rPr>
          <w:rFonts w:hint="eastAsia" w:ascii="宋体" w:hAnsi="宋体"/>
          <w:snapToGrid w:val="0"/>
          <w:kern w:val="0"/>
          <w:szCs w:val="21"/>
          <w:lang w:val="en-US" w:eastAsia="zh-CN"/>
        </w:rPr>
        <w:t>.</w:t>
      </w:r>
      <w:r>
        <w:rPr>
          <w:rFonts w:hint="eastAsia" w:ascii="宋体" w:hAnsi="宋体"/>
          <w:snapToGrid w:val="0"/>
          <w:kern w:val="0"/>
          <w:szCs w:val="21"/>
        </w:rPr>
        <w:t>A</w:t>
      </w:r>
      <w:r>
        <w:rPr>
          <w:rFonts w:hint="eastAsia" w:ascii="宋体" w:hAnsi="宋体"/>
          <w:snapToGrid w:val="0"/>
          <w:kern w:val="0"/>
          <w:szCs w:val="21"/>
          <w:lang w:val="en-US" w:eastAsia="zh-CN"/>
        </w:rPr>
        <w:t xml:space="preserve">  7.</w:t>
      </w:r>
      <w:r>
        <w:rPr>
          <w:rFonts w:hint="eastAsia" w:ascii="宋体" w:hAnsi="宋体"/>
          <w:snapToGrid w:val="0"/>
          <w:kern w:val="0"/>
          <w:szCs w:val="21"/>
        </w:rPr>
        <w:t>A</w:t>
      </w:r>
      <w:r>
        <w:rPr>
          <w:rFonts w:hint="eastAsia" w:ascii="宋体" w:hAnsi="宋体"/>
          <w:snapToGrid w:val="0"/>
          <w:kern w:val="0"/>
          <w:szCs w:val="21"/>
          <w:lang w:val="en-US" w:eastAsia="zh-CN"/>
        </w:rPr>
        <w:t xml:space="preserve">  8.  9.   10.  </w:t>
      </w:r>
    </w:p>
    <w:p>
      <w:pPr>
        <w:adjustRightInd w:val="0"/>
        <w:snapToGrid w:val="0"/>
        <w:rPr>
          <w:rFonts w:hint="eastAsia" w:ascii="宋体" w:hAnsi="宋体"/>
          <w:snapToGrid w:val="0"/>
          <w:kern w:val="0"/>
          <w:szCs w:val="21"/>
        </w:rPr>
      </w:pP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二、多项选择题</w:t>
      </w:r>
      <w:r>
        <w:rPr>
          <w:rFonts w:hint="eastAsia" w:ascii="宋体" w:hAnsi="宋体"/>
          <w:snapToGrid w:val="0"/>
          <w:kern w:val="0"/>
          <w:szCs w:val="21"/>
          <w:lang w:val="en-US" w:eastAsia="zh-CN"/>
        </w:rPr>
        <w:t xml:space="preserve"> </w:t>
      </w:r>
    </w:p>
    <w:p>
      <w:pPr>
        <w:adjustRightInd w:val="0"/>
        <w:snapToGrid w:val="0"/>
        <w:rPr>
          <w:rFonts w:hint="eastAsia" w:ascii="宋体" w:hAnsi="宋体"/>
          <w:snapToGrid w:val="0"/>
          <w:kern w:val="0"/>
          <w:szCs w:val="21"/>
          <w:lang w:val="en-US" w:eastAsia="zh-CN"/>
        </w:rPr>
      </w:pPr>
      <w:r>
        <w:rPr>
          <w:rFonts w:hint="eastAsia" w:ascii="宋体" w:hAnsi="宋体"/>
          <w:snapToGrid w:val="0"/>
          <w:kern w:val="0"/>
          <w:szCs w:val="21"/>
        </w:rPr>
        <w:t>11-</w:t>
      </w:r>
      <w:r>
        <w:rPr>
          <w:rFonts w:hint="eastAsia" w:ascii="宋体" w:hAnsi="宋体"/>
          <w:snapToGrid w:val="0"/>
          <w:kern w:val="0"/>
          <w:szCs w:val="21"/>
          <w:lang w:val="en-US" w:eastAsia="zh-CN"/>
        </w:rPr>
        <w:t xml:space="preserve">14 </w:t>
      </w:r>
      <w:r>
        <w:rPr>
          <w:rFonts w:hint="eastAsia" w:ascii="宋体" w:hAnsi="宋体"/>
          <w:snapToGrid w:val="0"/>
          <w:kern w:val="0"/>
          <w:szCs w:val="21"/>
        </w:rPr>
        <w:t xml:space="preserve">AB   AC    AB    ACD    </w:t>
      </w:r>
      <w:r>
        <w:rPr>
          <w:rFonts w:hint="eastAsia" w:ascii="宋体" w:hAnsi="宋体"/>
          <w:snapToGrid w:val="0"/>
          <w:kern w:val="0"/>
          <w:szCs w:val="21"/>
          <w:lang w:val="en-US" w:eastAsia="zh-CN"/>
        </w:rPr>
        <w:t>15.</w:t>
      </w:r>
    </w:p>
    <w:p>
      <w:pPr>
        <w:adjustRightInd w:val="0"/>
        <w:snapToGrid w:val="0"/>
        <w:rPr>
          <w:rFonts w:hint="eastAsia" w:ascii="宋体" w:hAnsi="宋体"/>
          <w:snapToGrid w:val="0"/>
          <w:kern w:val="0"/>
          <w:szCs w:val="21"/>
        </w:rPr>
      </w:pP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三、名词解释题</w:t>
      </w:r>
      <w:r>
        <w:rPr>
          <w:rFonts w:hint="eastAsia" w:ascii="宋体" w:hAnsi="宋体"/>
          <w:snapToGrid w:val="0"/>
          <w:kern w:val="0"/>
          <w:szCs w:val="21"/>
          <w:lang w:val="en-US" w:eastAsia="zh-CN"/>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16.</w:t>
      </w:r>
    </w:p>
    <w:p>
      <w:pPr>
        <w:adjustRightInd w:val="0"/>
        <w:snapToGrid w:val="0"/>
        <w:rPr>
          <w:rFonts w:hint="eastAsia" w:ascii="宋体" w:hAnsi="宋体"/>
          <w:snapToGrid w:val="0"/>
          <w:kern w:val="0"/>
          <w:szCs w:val="21"/>
        </w:rPr>
      </w:pPr>
      <w:r>
        <w:rPr>
          <w:rFonts w:hint="eastAsia" w:ascii="宋体" w:hAnsi="宋体"/>
          <w:snapToGrid w:val="0"/>
          <w:kern w:val="0"/>
          <w:szCs w:val="21"/>
        </w:rPr>
        <w:t>17.行政主体是指享有行政职权，能够以自己的名义实施行政活动，并独立承担由此产生的法律责任的组织。</w:t>
      </w:r>
    </w:p>
    <w:p>
      <w:pPr>
        <w:adjustRightInd w:val="0"/>
        <w:snapToGrid w:val="0"/>
        <w:rPr>
          <w:rFonts w:hint="eastAsia" w:ascii="宋体" w:hAnsi="宋体"/>
          <w:snapToGrid w:val="0"/>
          <w:kern w:val="0"/>
          <w:szCs w:val="21"/>
        </w:rPr>
      </w:pPr>
      <w:r>
        <w:rPr>
          <w:rFonts w:hint="eastAsia" w:ascii="宋体" w:hAnsi="宋体"/>
          <w:snapToGrid w:val="0"/>
          <w:kern w:val="0"/>
          <w:szCs w:val="21"/>
        </w:rPr>
        <w:t>18.公务员指依法履行公职、纳入国家行政编制、由国家财政负担工资福利的工作人员。</w:t>
      </w:r>
    </w:p>
    <w:p>
      <w:pPr>
        <w:adjustRightInd w:val="0"/>
        <w:snapToGrid w:val="0"/>
        <w:rPr>
          <w:rFonts w:hint="eastAsia" w:ascii="宋体" w:hAnsi="宋体"/>
          <w:snapToGrid w:val="0"/>
          <w:kern w:val="0"/>
          <w:szCs w:val="21"/>
        </w:rPr>
      </w:pPr>
      <w:r>
        <w:rPr>
          <w:rFonts w:hint="eastAsia" w:ascii="宋体" w:hAnsi="宋体"/>
          <w:snapToGrid w:val="0"/>
          <w:kern w:val="0"/>
          <w:szCs w:val="21"/>
        </w:rPr>
        <w:t>19.行政诉讼是指人民法院应行政相对人的请求，对具体行政行为的合法性进行审查，为行政相对人提供法律救济的活动。</w:t>
      </w:r>
    </w:p>
    <w:p>
      <w:pPr>
        <w:adjustRightInd w:val="0"/>
        <w:snapToGrid w:val="0"/>
        <w:rPr>
          <w:rFonts w:hint="eastAsia" w:ascii="宋体" w:hAnsi="宋体"/>
          <w:snapToGrid w:val="0"/>
          <w:kern w:val="0"/>
          <w:szCs w:val="21"/>
        </w:rPr>
      </w:pPr>
      <w:r>
        <w:rPr>
          <w:rFonts w:hint="eastAsia" w:ascii="宋体" w:hAnsi="宋体"/>
          <w:snapToGrid w:val="0"/>
          <w:kern w:val="0"/>
          <w:szCs w:val="21"/>
        </w:rPr>
        <w:t>20.行政补偿是指行政主体及其工作人员合法行使职权的活动给行政相对人的合法权益造成损失的，由国家对该损失予以弥补的制度。</w:t>
      </w:r>
    </w:p>
    <w:p>
      <w:pPr>
        <w:adjustRightInd w:val="0"/>
        <w:snapToGrid w:val="0"/>
        <w:rPr>
          <w:rFonts w:hint="eastAsia" w:ascii="宋体" w:hAnsi="宋体"/>
          <w:snapToGrid w:val="0"/>
          <w:kern w:val="0"/>
          <w:szCs w:val="21"/>
        </w:rPr>
      </w:pP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四、简答题</w:t>
      </w:r>
      <w:r>
        <w:rPr>
          <w:rFonts w:hint="eastAsia" w:ascii="宋体" w:hAnsi="宋体"/>
          <w:snapToGrid w:val="0"/>
          <w:kern w:val="0"/>
          <w:szCs w:val="21"/>
          <w:lang w:val="en-US" w:eastAsia="zh-CN"/>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21.</w:t>
      </w:r>
    </w:p>
    <w:p>
      <w:pPr>
        <w:adjustRightInd w:val="0"/>
        <w:snapToGrid w:val="0"/>
        <w:rPr>
          <w:rFonts w:hint="eastAsia" w:ascii="宋体" w:hAnsi="宋体"/>
          <w:snapToGrid w:val="0"/>
          <w:kern w:val="0"/>
          <w:szCs w:val="21"/>
        </w:rPr>
      </w:pP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22.抽象行政行为与具体行政行为的区别主要有：（1）相对人是否特定：抽象行政行为是针对不特定的行政相对人实施的，具体行政行为是针对特定的行政相对人实施的；（2）事实关系是否具体：抽象行政行为是针对抽象事实关系实施的，具体行政行为是针对具体事实关系实施的；（3）影响行政相对人权利义务的方式不同：抽象行政行为间接影响行政相对人的权利义务，具体行政行为直接影响行政相对人的权利义务。</w:t>
      </w:r>
      <w:r>
        <w:rPr>
          <w:rFonts w:hint="eastAsia" w:ascii="宋体" w:hAnsi="宋体"/>
          <w:snapToGrid w:val="0"/>
          <w:kern w:val="0"/>
          <w:szCs w:val="21"/>
          <w:lang w:val="en-US" w:eastAsia="zh-CN"/>
        </w:rPr>
        <w:t xml:space="preserve"> </w:t>
      </w:r>
    </w:p>
    <w:p>
      <w:pPr>
        <w:adjustRightInd w:val="0"/>
        <w:snapToGrid w:val="0"/>
        <w:rPr>
          <w:rFonts w:hint="eastAsia" w:ascii="宋体" w:hAnsi="宋体"/>
          <w:snapToGrid w:val="0"/>
          <w:kern w:val="0"/>
          <w:szCs w:val="21"/>
        </w:rPr>
      </w:pP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23.行政立法的制定机关有：（1）行政法规的制定主体是国务院。（2）部门规章的制定主体是：国务院各部、委员会、中国人民银行、审计署和具有行政管理职能的直属机构。（3）地方政府规章的制定主体是：省、自治区、直辖市以及较大的市的人民政府（较大的市是指省、自治区的人民政府所在地的市，经济特区所在地的市和经国务院批准的较大的市）。</w:t>
      </w:r>
      <w:r>
        <w:rPr>
          <w:rFonts w:hint="eastAsia" w:ascii="宋体" w:hAnsi="宋体"/>
          <w:snapToGrid w:val="0"/>
          <w:kern w:val="0"/>
          <w:szCs w:val="21"/>
          <w:lang w:val="en-US" w:eastAsia="zh-CN"/>
        </w:rPr>
        <w:t xml:space="preserve"> </w:t>
      </w:r>
    </w:p>
    <w:p>
      <w:pPr>
        <w:adjustRightInd w:val="0"/>
        <w:snapToGrid w:val="0"/>
        <w:rPr>
          <w:rFonts w:hint="eastAsia" w:ascii="宋体" w:hAnsi="宋体"/>
          <w:snapToGrid w:val="0"/>
          <w:kern w:val="0"/>
          <w:szCs w:val="21"/>
        </w:rPr>
      </w:pP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24.行政处罚法的基本原则有处罚法定原则；公正、公开原则；处罚和教育相结合的原则；保障相对人权益的原则。</w:t>
      </w:r>
      <w:r>
        <w:rPr>
          <w:rFonts w:hint="eastAsia" w:ascii="宋体" w:hAnsi="宋体"/>
          <w:snapToGrid w:val="0"/>
          <w:kern w:val="0"/>
          <w:szCs w:val="21"/>
          <w:lang w:val="en-US" w:eastAsia="zh-CN"/>
        </w:rPr>
        <w:t xml:space="preserve"> </w:t>
      </w:r>
    </w:p>
    <w:p>
      <w:pPr>
        <w:adjustRightInd w:val="0"/>
        <w:snapToGrid w:val="0"/>
        <w:rPr>
          <w:rFonts w:hint="eastAsia" w:ascii="宋体" w:hAnsi="宋体"/>
          <w:snapToGrid w:val="0"/>
          <w:kern w:val="0"/>
          <w:szCs w:val="21"/>
        </w:rPr>
      </w:pP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25.适用确认（被诉具体行政行为）违法判决的情形有：（1）被告不履行法定职责，但判决责令其履行法定职责已无实际意义的；（2）被诉具体行政行为违法，但不具有可撤销内容的；（3）被诉具体行政行为依法不成立的；（4）被诉具体行政行为违法，但撤销该具体行政行为将会给国家利益或者公共利益造成重大损失的。</w:t>
      </w:r>
      <w:r>
        <w:rPr>
          <w:rFonts w:hint="eastAsia" w:ascii="宋体" w:hAnsi="宋体"/>
          <w:snapToGrid w:val="0"/>
          <w:kern w:val="0"/>
          <w:szCs w:val="21"/>
          <w:lang w:val="en-US" w:eastAsia="zh-CN"/>
        </w:rPr>
        <w:t xml:space="preserve"> </w:t>
      </w:r>
    </w:p>
    <w:p>
      <w:pPr>
        <w:adjustRightInd w:val="0"/>
        <w:snapToGrid w:val="0"/>
        <w:rPr>
          <w:rFonts w:hint="eastAsia" w:ascii="宋体" w:hAnsi="宋体"/>
          <w:snapToGrid w:val="0"/>
          <w:kern w:val="0"/>
          <w:szCs w:val="21"/>
        </w:rPr>
      </w:pP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五、案例分析题</w:t>
      </w:r>
      <w:r>
        <w:rPr>
          <w:rFonts w:hint="eastAsia" w:ascii="宋体" w:hAnsi="宋体"/>
          <w:snapToGrid w:val="0"/>
          <w:kern w:val="0"/>
          <w:szCs w:val="21"/>
          <w:lang w:val="en-US" w:eastAsia="zh-CN"/>
        </w:rPr>
        <w:t xml:space="preserve"> </w:t>
      </w:r>
      <w:bookmarkStart w:id="0" w:name="_GoBack"/>
      <w:bookmarkEnd w:id="0"/>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26.1）不合法。根据行政处罚法的规定，当场处罚程序适用于违法事实确凿并有法定依据，对公民处以五十元以下、对法人或者其他组织处以一千元以下罚款或者警告的案件，本案中两机关的执法人员当场对E公司作出较大数额的罚款、吊销执照的处罚显然违法。</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（2）不合法。根据行政处罚法的规定，天津市工商局北辰分局在作出较大数额罚款、吊销执照的行政处罚决定之前，应当告知E公司有要求举行听证的权利；E公司要求听证的，其应当组织听证。</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3）不违反。《行政处罚法》规定的“一事不再罚”是指，对当事人的同一个违法行为，不得给予两次以上罚款的行政处罚。本案中，税务机关作出的行政处罚是针对E公司偷漏税款的行为，工商机关作出的行政处罚是针对E公司经营假冒伪劣商品的行为，前后作出的两个行政处罚不是针对E公司的同一个违法行为，故不违反《行政处罚法》关于“一事不再罚”的规定。</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4）不可以。根据行政诉讼法的规定，两个行政机关共同作出具体行政行为的，共同作出具体行政行为的行政机关为共同被告。本案中，天津市工商局北辰分局和天津市地税局北辰分局是分别针对E公司的不同违法行为作出处罚的，E公司对上述行政处罚均不服，只能分别提起行政诉讼。</w:t>
      </w:r>
    </w:p>
    <w:p>
      <w:pPr>
        <w:adjustRightInd w:val="0"/>
        <w:snapToGrid w:val="0"/>
        <w:rPr>
          <w:rFonts w:hint="eastAsia" w:ascii="宋体" w:hAnsi="宋体"/>
          <w:snapToGrid w:val="0"/>
          <w:kern w:val="0"/>
          <w:szCs w:val="21"/>
        </w:rPr>
      </w:pPr>
      <w:r>
        <w:rPr>
          <w:rFonts w:hint="eastAsia" w:ascii="宋体" w:hAnsi="宋体"/>
          <w:snapToGrid w:val="0"/>
          <w:kern w:val="0"/>
          <w:szCs w:val="21"/>
        </w:rPr>
        <w:t>27</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（1）不合法。市政府规章可以在《律师法》设定的行政许可事项范围内，对实施该行政许可作出具体规定，但对行政许可条件作出的具体规定，不得增设违反上位法的其他条件。</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（2）应当听取甲、乙、丙三人的意见。公民、法人或者其他组织对行政机关实施行政许可，享有陈述权、申辩权；</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（3）应当适用《律师法》的上述规定。行政许可法规定，法律、法规对行政许可的审查期限另有规定的，依照其规定。</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（4）应当。本案中甲、乙、丙三名律师是以欺骗这种不正当手段取得行政许可的，故应当予以撤销。</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（5）不需要。因为甲、乙、丙三名律师违反诚实信用原则，是以欺骗手段取得行政许可的，其信赖不值得保护，故不予赔偿。</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28.</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（1）地区行署</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能够。根据行政复议法的规定，行政相对人认为行政机关的具体行政行为所依据的县级以上地方各级人民政府及其工作部门的规定（规章除外）不合法，在对具体行政行为申请行政复议时，可以一并向行政复议机关提出对该规定的审查申请。</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3）撤销甲县人民政府作出的行政处罚的决定。因为，地区行署的规定违反上位法（《反不正当竞争法》、《行政许可法》等），是无效的。甲县人民政府根据地区行署的规定对F公司作出行政处罚，属于适用法律错误，故应予撤销。</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（4）可以。对于此类处罚案件，法律、法规未规定行政复议是提起行政诉讼的必经程序，故F公司可以先申请复议，对复议不服的，再向人民法院提起诉讼；也可以直接向人民法院提起诉讼。</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29.</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sectPr>
      <w:headerReference r:id="rId4" w:type="first"/>
      <w:headerReference r:id="rId3" w:type="default"/>
      <w:footerReference r:id="rId5" w:type="default"/>
      <w:pgSz w:w="11907" w:h="16840"/>
      <w:pgMar w:top="851" w:right="851" w:bottom="851" w:left="1418" w:header="851" w:footer="567" w:gutter="0"/>
      <w:cols w:space="720" w:num="1"/>
      <w:titlePg/>
      <w:docGrid w:type="linesAndChars" w:linePitch="289" w:charSpace="847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
      <w:tblW w:w="0" w:type="auto"/>
      <w:jc w:val="center"/>
      <w:tblLayout w:type="fixed"/>
      <w:tblCellMar>
        <w:top w:w="0" w:type="dxa"/>
        <w:left w:w="108" w:type="dxa"/>
        <w:bottom w:w="0" w:type="dxa"/>
        <w:right w:w="108" w:type="dxa"/>
      </w:tblCellMar>
    </w:tblPr>
    <w:tblGrid>
      <w:gridCol w:w="9513"/>
    </w:tblGrid>
    <w:tr>
      <w:trPr>
        <w:jc w:val="center"/>
      </w:trPr>
      <w:tc>
        <w:tcPr>
          <w:tcW w:w="9513" w:type="dxa"/>
          <w:noWrap w:val="0"/>
          <w:vAlign w:val="top"/>
        </w:tcPr>
        <w:p>
          <w:pPr>
            <w:pStyle w:val="2"/>
            <w:tabs>
              <w:tab w:val="clear" w:pos="4153"/>
              <w:tab w:val="clear" w:pos="8306"/>
            </w:tabs>
            <w:jc w:val="center"/>
            <w:rPr>
              <w:rFonts w:hint="eastAsia" w:eastAsia="黑体"/>
              <w:b/>
            </w:rPr>
          </w:pPr>
          <w:r>
            <w:rPr>
              <w:rFonts w:hint="eastAsia" w:ascii="Courier New" w:hAnsi="Courier New" w:eastAsia="黑体"/>
              <w:b/>
            </w:rPr>
            <w:t>《</w:t>
          </w:r>
          <w:r>
            <w:rPr>
              <w:rFonts w:ascii="Courier New" w:hAnsi="Courier New" w:eastAsia="黑体"/>
              <w:b/>
            </w:rPr>
            <w:fldChar w:fldCharType="begin"/>
          </w:r>
          <w:r>
            <w:rPr>
              <w:rFonts w:ascii="Courier New" w:hAnsi="Courier New" w:eastAsia="黑体"/>
              <w:b/>
            </w:rPr>
            <w:instrText xml:space="preserve"> REF </w:instrText>
          </w:r>
          <w:r>
            <w:rPr>
              <w:rFonts w:hint="eastAsia" w:ascii="Courier New" w:hAnsi="Courier New" w:eastAsia="黑体"/>
              <w:b/>
            </w:rPr>
            <w:instrText xml:space="preserve">课程名称</w:instrText>
          </w:r>
          <w:r>
            <w:rPr>
              <w:rFonts w:ascii="Courier New" w:hAnsi="Courier New" w:eastAsia="黑体"/>
              <w:b/>
            </w:rPr>
            <w:instrText xml:space="preserve"> </w:instrText>
          </w:r>
          <w:r>
            <w:rPr>
              <w:rFonts w:hint="eastAsia" w:ascii="Courier New" w:hAnsi="Courier New" w:eastAsia="黑体"/>
              <w:b/>
            </w:rPr>
            <w:instrText xml:space="preserve"> </w:instrText>
          </w:r>
          <w:r>
            <w:rPr>
              <w:rFonts w:ascii="Courier New" w:hAnsi="Courier New" w:eastAsia="黑体"/>
              <w:b/>
            </w:rPr>
            <w:instrText xml:space="preserve">\t</w:instrText>
          </w:r>
          <w:r>
            <w:rPr>
              <w:rFonts w:hint="eastAsia" w:ascii="Courier New" w:hAnsi="Courier New" w:eastAsia="黑体"/>
              <w:b/>
            </w:rPr>
            <w:instrText xml:space="preserve"> </w:instrText>
          </w:r>
          <w:r>
            <w:rPr>
              <w:rFonts w:ascii="Courier New" w:hAnsi="Courier New" w:eastAsia="黑体"/>
              <w:b/>
            </w:rPr>
            <w:instrText xml:space="preserve">\* MERGEFORMAT </w:instrText>
          </w:r>
          <w:r>
            <w:rPr>
              <w:rFonts w:ascii="Courier New" w:hAnsi="Courier New" w:eastAsia="黑体"/>
              <w:b/>
            </w:rPr>
            <w:fldChar w:fldCharType="separate"/>
          </w:r>
          <w:r>
            <w:rPr>
              <w:rFonts w:hint="eastAsia" w:ascii="Courier New" w:hAnsi="Courier New" w:eastAsia="黑体"/>
              <w:b/>
            </w:rPr>
            <w:t>计算机文化基础</w:t>
          </w:r>
          <w:r>
            <w:rPr>
              <w:rFonts w:ascii="Courier New" w:hAnsi="Courier New" w:eastAsia="黑体"/>
              <w:b/>
            </w:rPr>
            <w:fldChar w:fldCharType="end"/>
          </w:r>
          <w:r>
            <w:rPr>
              <w:rFonts w:hint="eastAsia" w:ascii="Courier New" w:hAnsi="Courier New" w:eastAsia="黑体"/>
              <w:b/>
            </w:rPr>
            <w:t>》试题（</w:t>
          </w:r>
          <w:r>
            <w:rPr>
              <w:rFonts w:ascii="Courier New" w:hAnsi="Courier New" w:eastAsia="黑体"/>
              <w:b/>
            </w:rPr>
            <w:fldChar w:fldCharType="begin"/>
          </w:r>
          <w:r>
            <w:rPr>
              <w:rFonts w:ascii="Courier New" w:hAnsi="Courier New" w:eastAsia="黑体"/>
              <w:b/>
            </w:rPr>
            <w:instrText xml:space="preserve"> REF </w:instrText>
          </w:r>
          <w:r>
            <w:rPr>
              <w:rFonts w:hint="eastAsia" w:ascii="Courier New" w:hAnsi="Courier New" w:eastAsia="黑体"/>
              <w:b/>
            </w:rPr>
            <w:instrText xml:space="preserve">卷别</w:instrText>
          </w:r>
          <w:r>
            <w:rPr>
              <w:rFonts w:ascii="Courier New" w:hAnsi="Courier New" w:eastAsia="黑体"/>
              <w:b/>
            </w:rPr>
            <w:instrText xml:space="preserve">  \t</w:instrText>
          </w:r>
          <w:r>
            <w:rPr>
              <w:rFonts w:hint="eastAsia" w:ascii="Courier New" w:hAnsi="Courier New" w:eastAsia="黑体"/>
              <w:b/>
            </w:rPr>
            <w:instrText xml:space="preserve"> </w:instrText>
          </w:r>
          <w:r>
            <w:rPr>
              <w:rFonts w:ascii="Courier New" w:hAnsi="Courier New" w:eastAsia="黑体"/>
              <w:b/>
            </w:rPr>
            <w:instrText xml:space="preserve">\* MERGEFORMAT </w:instrText>
          </w:r>
          <w:r>
            <w:rPr>
              <w:rFonts w:ascii="Courier New" w:hAnsi="Courier New" w:eastAsia="黑体"/>
              <w:b/>
            </w:rPr>
            <w:fldChar w:fldCharType="separate"/>
          </w:r>
          <w:r>
            <w:rPr>
              <w:rFonts w:hint="eastAsia" w:ascii="Courier New" w:hAnsi="Courier New" w:eastAsia="黑体"/>
              <w:b/>
            </w:rPr>
            <w:t>A卷</w:t>
          </w:r>
          <w:r>
            <w:rPr>
              <w:rFonts w:ascii="Courier New" w:hAnsi="Courier New" w:eastAsia="黑体"/>
              <w:b/>
            </w:rPr>
            <w:fldChar w:fldCharType="end"/>
          </w:r>
          <w:r>
            <w:rPr>
              <w:rFonts w:hint="eastAsia" w:ascii="Courier New" w:hAnsi="Courier New" w:eastAsia="黑体"/>
              <w:b/>
            </w:rPr>
            <w:t>）    第</w:t>
          </w:r>
          <w:r>
            <w:rPr>
              <w:rFonts w:ascii="Courier New" w:hAnsi="Courier New" w:eastAsia="黑体"/>
              <w:b/>
            </w:rPr>
            <w:t xml:space="preserve"> </w:t>
          </w:r>
          <w:r>
            <w:rPr>
              <w:rFonts w:ascii="Courier New" w:hAnsi="Courier New" w:eastAsia="黑体"/>
              <w:b/>
            </w:rPr>
            <w:fldChar w:fldCharType="begin"/>
          </w:r>
          <w:r>
            <w:rPr>
              <w:rFonts w:ascii="Courier New" w:hAnsi="Courier New" w:eastAsia="黑体"/>
              <w:b/>
            </w:rPr>
            <w:instrText xml:space="preserve">= </w:instrText>
          </w:r>
          <w:r>
            <w:rPr>
              <w:rFonts w:hint="eastAsia" w:ascii="Courier New" w:hAnsi="Courier New" w:eastAsia="黑体"/>
              <w:b/>
            </w:rPr>
            <w:instrText xml:space="preserve">1</w:instrText>
          </w:r>
          <w:r>
            <w:rPr>
              <w:rFonts w:ascii="Courier New" w:hAnsi="Courier New" w:eastAsia="黑体"/>
              <w:b/>
            </w:rPr>
            <w:instrText xml:space="preserve">*</w:instrText>
          </w:r>
          <w:r>
            <w:rPr>
              <w:rFonts w:ascii="Courier New" w:hAnsi="Courier New" w:eastAsia="黑体"/>
              <w:b/>
            </w:rPr>
            <w:fldChar w:fldCharType="begin"/>
          </w:r>
          <w:r>
            <w:rPr>
              <w:rFonts w:ascii="Courier New" w:hAnsi="Courier New" w:eastAsia="黑体"/>
              <w:b/>
            </w:rPr>
            <w:instrText xml:space="preserve"> Page </w:instrText>
          </w:r>
          <w:r>
            <w:rPr>
              <w:rFonts w:ascii="Courier New" w:hAnsi="Courier New" w:eastAsia="黑体"/>
              <w:b/>
            </w:rPr>
            <w:fldChar w:fldCharType="separate"/>
          </w:r>
          <w:r>
            <w:rPr>
              <w:rFonts w:ascii="Courier New" w:hAnsi="Courier New" w:eastAsia="黑体"/>
              <w:b/>
            </w:rPr>
            <w:instrText xml:space="preserve">1</w:instrText>
          </w:r>
          <w:r>
            <w:rPr>
              <w:rFonts w:ascii="Courier New" w:hAnsi="Courier New" w:eastAsia="黑体"/>
              <w:b/>
            </w:rPr>
            <w:fldChar w:fldCharType="end"/>
          </w:r>
          <w:r>
            <w:rPr>
              <w:rFonts w:ascii="Courier New" w:hAnsi="Courier New" w:eastAsia="黑体"/>
              <w:b/>
            </w:rPr>
            <w:instrText xml:space="preserve"> </w:instrText>
          </w:r>
          <w:r>
            <w:rPr>
              <w:rFonts w:ascii="Courier New" w:hAnsi="Courier New" w:eastAsia="黑体"/>
              <w:b/>
            </w:rPr>
            <w:fldChar w:fldCharType="separate"/>
          </w:r>
          <w:r>
            <w:rPr>
              <w:rFonts w:ascii="Courier New" w:hAnsi="Courier New" w:eastAsia="黑体"/>
              <w:b/>
            </w:rPr>
            <w:t>1</w:t>
          </w:r>
          <w:r>
            <w:rPr>
              <w:rFonts w:ascii="Courier New" w:hAnsi="Courier New" w:eastAsia="黑体"/>
              <w:b/>
            </w:rPr>
            <w:fldChar w:fldCharType="end"/>
          </w:r>
          <w:r>
            <w:rPr>
              <w:rFonts w:ascii="Courier New" w:hAnsi="Courier New" w:eastAsia="黑体"/>
              <w:b/>
            </w:rPr>
            <w:t xml:space="preserve"> </w:t>
          </w:r>
          <w:r>
            <w:rPr>
              <w:rFonts w:hint="eastAsia" w:ascii="Courier New" w:hAnsi="Courier New" w:eastAsia="黑体"/>
              <w:b/>
            </w:rPr>
            <w:t xml:space="preserve">页 </w:t>
          </w:r>
          <w:r>
            <w:rPr>
              <w:rFonts w:ascii="Courier New" w:hAnsi="Courier New" w:eastAsia="黑体"/>
              <w:b/>
            </w:rPr>
            <w:t xml:space="preserve"> </w:t>
          </w:r>
          <w:r>
            <w:rPr>
              <w:rFonts w:hint="eastAsia" w:ascii="Courier New" w:hAnsi="Courier New" w:eastAsia="黑体"/>
              <w:b/>
            </w:rPr>
            <w:t>共</w:t>
          </w:r>
          <w:r>
            <w:rPr>
              <w:rFonts w:ascii="Courier New" w:hAnsi="Courier New" w:eastAsia="黑体"/>
              <w:b/>
            </w:rPr>
            <w:t xml:space="preserve"> </w:t>
          </w:r>
          <w:r>
            <w:rPr>
              <w:rFonts w:ascii="Courier New" w:hAnsi="Courier New" w:eastAsia="黑体"/>
              <w:b/>
            </w:rPr>
            <w:fldChar w:fldCharType="begin"/>
          </w:r>
          <w:r>
            <w:rPr>
              <w:rFonts w:ascii="Courier New" w:hAnsi="Courier New" w:eastAsia="黑体"/>
              <w:b/>
            </w:rPr>
            <w:instrText xml:space="preserve"> =</w:instrText>
          </w:r>
          <w:r>
            <w:rPr>
              <w:rFonts w:hint="eastAsia" w:ascii="Courier New" w:hAnsi="Courier New" w:eastAsia="黑体"/>
              <w:b/>
            </w:rPr>
            <w:instrText xml:space="preserve">1</w:instrText>
          </w:r>
          <w:r>
            <w:rPr>
              <w:rFonts w:ascii="Courier New" w:hAnsi="Courier New" w:eastAsia="黑体"/>
              <w:b/>
            </w:rPr>
            <w:instrText xml:space="preserve">*</w:instrText>
          </w:r>
          <w:r>
            <w:rPr>
              <w:rFonts w:ascii="Courier New" w:hAnsi="Courier New" w:eastAsia="黑体"/>
              <w:b/>
            </w:rPr>
            <w:fldChar w:fldCharType="begin"/>
          </w:r>
          <w:r>
            <w:rPr>
              <w:rFonts w:ascii="Courier New" w:hAnsi="Courier New" w:eastAsia="黑体"/>
              <w:b/>
            </w:rPr>
            <w:instrText xml:space="preserve"> NumPages </w:instrText>
          </w:r>
          <w:r>
            <w:rPr>
              <w:rFonts w:ascii="Courier New" w:hAnsi="Courier New" w:eastAsia="黑体"/>
              <w:b/>
            </w:rPr>
            <w:fldChar w:fldCharType="separate"/>
          </w:r>
          <w:r>
            <w:rPr>
              <w:rFonts w:ascii="Courier New" w:hAnsi="Courier New" w:eastAsia="黑体"/>
              <w:b/>
            </w:rPr>
            <w:instrText xml:space="preserve">2</w:instrText>
          </w:r>
          <w:r>
            <w:rPr>
              <w:rFonts w:ascii="Courier New" w:hAnsi="Courier New" w:eastAsia="黑体"/>
              <w:b/>
            </w:rPr>
            <w:fldChar w:fldCharType="end"/>
          </w:r>
          <w:r>
            <w:rPr>
              <w:rFonts w:ascii="Courier New" w:hAnsi="Courier New" w:eastAsia="黑体"/>
              <w:b/>
            </w:rPr>
            <w:instrText xml:space="preserve"> </w:instrText>
          </w:r>
          <w:r>
            <w:rPr>
              <w:rFonts w:ascii="Courier New" w:hAnsi="Courier New" w:eastAsia="黑体"/>
              <w:b/>
            </w:rPr>
            <w:fldChar w:fldCharType="separate"/>
          </w:r>
          <w:r>
            <w:rPr>
              <w:rFonts w:ascii="Courier New" w:hAnsi="Courier New" w:eastAsia="黑体"/>
              <w:b/>
            </w:rPr>
            <w:t>2</w:t>
          </w:r>
          <w:r>
            <w:rPr>
              <w:rFonts w:ascii="Courier New" w:hAnsi="Courier New" w:eastAsia="黑体"/>
              <w:b/>
            </w:rPr>
            <w:fldChar w:fldCharType="end"/>
          </w:r>
          <w:r>
            <w:rPr>
              <w:rFonts w:ascii="Courier New" w:hAnsi="Courier New" w:eastAsia="黑体"/>
              <w:b/>
            </w:rPr>
            <w:t xml:space="preserve"> </w:t>
          </w:r>
          <w:r>
            <w:rPr>
              <w:rFonts w:hint="eastAsia" w:ascii="Courier New" w:hAnsi="Courier New" w:eastAsia="黑体"/>
              <w:b/>
            </w:rPr>
            <w:t>页</w:t>
          </w:r>
        </w:p>
      </w:tc>
    </w:tr>
  </w:tbl>
  <w:p>
    <w:pPr>
      <w:pStyle w:val="2"/>
      <w:tabs>
        <w:tab w:val="right" w:pos="7125"/>
        <w:tab w:val="center" w:pos="11875"/>
        <w:tab w:val="clear" w:pos="4153"/>
        <w:tab w:val="clear" w:pos="8306"/>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C575CC"/>
    <w:rsid w:val="116A6B46"/>
    <w:rsid w:val="213658E5"/>
    <w:rsid w:val="47C57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2021-10-23T07:51:00Z</dcterms:created>
  <dc:creator>萍</dc:creator>
  <cp:lastModifiedBy>台州育华学校李才聪</cp:lastModifiedBy>
  <dcterms:modified xsi:type="dcterms:W3CDTF">2021-11-11T06:55:20Z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25AA228F824C471994A948AEB6741188</vt:lpwstr>
  </property>
</Properties>
</file>