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黑体" w:eastAsia="黑体" w:cs="黑体"/>
          <w:b w:val="0"/>
          <w:bCs/>
          <w:sz w:val="32"/>
          <w:u w:val="single"/>
          <w:lang w:val="en-US" w:eastAsia="zh-CN"/>
        </w:rPr>
      </w:pPr>
      <w:r>
        <w:rPr>
          <w:rFonts w:hint="eastAsia" w:ascii="宋体" w:hAnsi="宋体" w:eastAsia="宋体" w:cs="宋体"/>
          <w:b/>
          <w:bCs w:val="0"/>
          <w:i/>
          <w:iCs/>
          <w:sz w:val="32"/>
          <w:u w:val="single"/>
          <w:lang w:val="en-US" w:eastAsia="zh-CN"/>
        </w:rPr>
        <w:t xml:space="preserve"> </w:t>
      </w:r>
      <w:r>
        <w:rPr>
          <w:rFonts w:hint="eastAsia" w:ascii="宋体" w:hAnsi="宋体" w:cs="宋体"/>
          <w:b/>
          <w:bCs w:val="0"/>
          <w:sz w:val="32"/>
          <w:u w:val="single"/>
          <w:lang w:val="en-US" w:eastAsia="zh-CN"/>
        </w:rPr>
        <w:t xml:space="preserve">证券投资 </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rPr>
        <w:t>一、单项选择题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1、我们常用以下哪个概念表示股票的真正投资价值：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A、股票的票面价值 B、股票的账面价值</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C、股票的内在价值 D、股票的发行价格 2、以下哪种风险属于系统性风险：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A、市场风险 B、信用风险 C、经营风险 D、违约风险 3、经济周期属于以下哪类风险：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A、企业风险 B、市场风险 C、利率风险 D、购买力风险 4、以下哪个经济指标是进行经济周期分析的先行指标： （ ） A、国民生产总值 B、货币政策 C、失业率 D、银行短期商业贷款利率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5、以下哪种货币政策对证券市场影响最为直接和迅速的金融因素：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A、存款准本金率 B、贴现率调整 C、公开市场业务 D、利率政策</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6、钢铁、汽车和石油等行业属于哪种市场类型： （ ） A、完全垄断 B、寡头垄断 C、垄断竞争 D、完全竞争 7、甲股票的每股收益为1元,市盈率水平为15,那么该股票的价格是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A.15元 B.13元 C.20元D.25元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8、k线理论起源于： （ ）</w:t>
      </w:r>
    </w:p>
    <w:p>
      <w:pPr>
        <w:pStyle w:val="2"/>
        <w:keepNext w:val="0"/>
        <w:keepLines w:val="0"/>
        <w:pageBreakBefore w:val="0"/>
        <w:numPr>
          <w:ilvl w:val="0"/>
          <w:numId w:val="1"/>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美国 B、日本 C、印度 D、英国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9、连接连续下降的高点，得到： （ ）</w:t>
      </w:r>
    </w:p>
    <w:p>
      <w:pPr>
        <w:pStyle w:val="2"/>
        <w:keepNext w:val="0"/>
        <w:keepLines w:val="0"/>
        <w:pageBreakBefore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轨道线 B、上升趋势线 C、支撑线 D、下降趋势线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10、就单枝K线而言,反映多方占据绝对优势的K线形状是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asciiTheme="minorEastAsia" w:hAnsiTheme="minorEastAsia" w:eastAsiaTheme="minorEastAsia" w:cstheme="minorEastAsia"/>
          <w:sz w:val="24"/>
          <w:szCs w:val="24"/>
        </w:rPr>
        <w:t xml:space="preserve">A.大十字星 B.带有较长上影线的阳线 C.光头光脚大阴线 D.光头光脚大阳线 </w:t>
      </w:r>
      <w:r>
        <w:rPr>
          <w:rFonts w:hint="eastAsia" w:hAnsi="宋体"/>
          <w:b/>
          <w:kern w:val="0"/>
          <w:sz w:val="24"/>
          <w:szCs w:val="24"/>
        </w:rPr>
        <w:t>二、</w:t>
      </w:r>
      <w:r>
        <w:rPr>
          <w:rFonts w:hint="eastAsia" w:hAnsi="宋体"/>
          <w:b/>
          <w:kern w:val="0"/>
          <w:sz w:val="24"/>
          <w:szCs w:val="24"/>
          <w:lang w:val="en-US" w:eastAsia="zh-CN"/>
        </w:rPr>
        <w:t>多</w:t>
      </w:r>
      <w:r>
        <w:rPr>
          <w:rFonts w:hint="eastAsia" w:hAnsi="宋体"/>
          <w:b/>
          <w:kern w:val="0"/>
          <w:sz w:val="24"/>
          <w:szCs w:val="24"/>
        </w:rPr>
        <w:t>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1、股票属于 （ ）</w:t>
      </w:r>
    </w:p>
    <w:p>
      <w:pPr>
        <w:pStyle w:val="2"/>
        <w:keepNext w:val="0"/>
        <w:keepLines w:val="0"/>
        <w:pageBreakBefore w:val="0"/>
        <w:numPr>
          <w:ilvl w:val="0"/>
          <w:numId w:val="3"/>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凭证证券； B、有价证券； C、商品证券； D、资本证券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2、股份公司的设立，分为： （ ）</w:t>
      </w:r>
    </w:p>
    <w:p>
      <w:pPr>
        <w:pStyle w:val="2"/>
        <w:keepNext w:val="0"/>
        <w:keepLines w:val="0"/>
        <w:pageBreakBefore w:val="0"/>
        <w:numPr>
          <w:ilvl w:val="0"/>
          <w:numId w:val="4"/>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发起设立； B、改组设立； C、募集设立； D、合并设立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3、我国的股东大会分为：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A、创立大会； B、年度股东大会； C、季度股东大会； D、临时股东大会</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4、下列指标中反映公司经营效率的有（ ）。</w:t>
      </w:r>
    </w:p>
    <w:p>
      <w:pPr>
        <w:pStyle w:val="2"/>
        <w:keepNext w:val="0"/>
        <w:keepLines w:val="0"/>
        <w:pageBreakBefore w:val="0"/>
        <w:numPr>
          <w:ilvl w:val="0"/>
          <w:numId w:val="5"/>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应收帐款周转率 B、净资产收益率 C、存货周转率 D、固定资产周转率 E、总资产周转率 </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衡量风险方法有： （ ） </w:t>
      </w:r>
    </w:p>
    <w:p>
      <w:pPr>
        <w:pStyle w:val="2"/>
        <w:keepNext w:val="0"/>
        <w:keepLines w:val="0"/>
        <w:pageBreakBefore w:val="0"/>
        <w:numPr>
          <w:ilvl w:val="0"/>
          <w:numId w:val="7"/>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价差率法； B、β系数法 C、标准差σ法； D、收益率法 </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z w:val="24"/>
          <w:szCs w:val="24"/>
        </w:rPr>
      </w:pPr>
      <w:r>
        <w:rPr>
          <w:rFonts w:hint="eastAsia" w:ascii="宋体" w:hAnsi="宋体"/>
          <w:sz w:val="24"/>
          <w:szCs w:val="24"/>
        </w:rPr>
        <w:t xml:space="preserve">股份公司的变更包括： （ ） </w:t>
      </w:r>
    </w:p>
    <w:p>
      <w:pPr>
        <w:pStyle w:val="2"/>
        <w:keepNext w:val="0"/>
        <w:keepLines w:val="0"/>
        <w:pageBreakBefore w:val="0"/>
        <w:numPr>
          <w:ilvl w:val="0"/>
          <w:numId w:val="8"/>
        </w:numPr>
        <w:kinsoku/>
        <w:wordWrap/>
        <w:overflowPunct/>
        <w:topLinePunct w:val="0"/>
        <w:autoSpaceDE/>
        <w:autoSpaceDN/>
        <w:bidi w:val="0"/>
        <w:adjustRightInd/>
        <w:snapToGrid/>
        <w:spacing w:line="400" w:lineRule="exact"/>
        <w:ind w:leftChars="0"/>
        <w:textAlignment w:val="auto"/>
        <w:rPr>
          <w:rFonts w:hint="eastAsia" w:ascii="宋体" w:hAnsi="宋体"/>
          <w:sz w:val="24"/>
          <w:szCs w:val="24"/>
        </w:rPr>
      </w:pPr>
      <w:r>
        <w:rPr>
          <w:rFonts w:hint="eastAsia" w:ascii="宋体" w:hAnsi="宋体"/>
          <w:sz w:val="24"/>
          <w:szCs w:val="24"/>
        </w:rPr>
        <w:t xml:space="preserve">合并 B、分立 C、破产 D、转换 </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z w:val="24"/>
          <w:szCs w:val="24"/>
        </w:rPr>
      </w:pPr>
      <w:r>
        <w:rPr>
          <w:rFonts w:hint="eastAsia" w:ascii="宋体" w:hAnsi="宋体"/>
          <w:sz w:val="24"/>
          <w:szCs w:val="24"/>
        </w:rPr>
        <w:t xml:space="preserve">我国境外上市外资股包括： （ ） </w:t>
      </w:r>
    </w:p>
    <w:p>
      <w:pPr>
        <w:pStyle w:val="2"/>
        <w:keepNext w:val="0"/>
        <w:keepLines w:val="0"/>
        <w:pageBreakBefore w:val="0"/>
        <w:numPr>
          <w:ilvl w:val="0"/>
          <w:numId w:val="9"/>
        </w:numPr>
        <w:kinsoku/>
        <w:wordWrap/>
        <w:overflowPunct/>
        <w:topLinePunct w:val="0"/>
        <w:autoSpaceDE/>
        <w:autoSpaceDN/>
        <w:bidi w:val="0"/>
        <w:adjustRightInd/>
        <w:snapToGrid/>
        <w:spacing w:line="400" w:lineRule="exact"/>
        <w:ind w:leftChars="0"/>
        <w:textAlignment w:val="auto"/>
        <w:rPr>
          <w:rFonts w:hint="eastAsia" w:ascii="宋体" w:hAnsi="宋体"/>
          <w:sz w:val="24"/>
          <w:szCs w:val="24"/>
        </w:rPr>
      </w:pPr>
      <w:r>
        <w:rPr>
          <w:rFonts w:hint="eastAsia" w:ascii="宋体" w:hAnsi="宋体"/>
          <w:sz w:val="24"/>
          <w:szCs w:val="24"/>
        </w:rPr>
        <w:t xml:space="preserve">B股 B、H股 C、S股 D、N股 </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sz w:val="24"/>
          <w:szCs w:val="24"/>
        </w:rPr>
      </w:pPr>
      <w:r>
        <w:rPr>
          <w:rFonts w:hint="eastAsia" w:ascii="宋体" w:hAnsi="宋体"/>
          <w:sz w:val="24"/>
          <w:szCs w:val="24"/>
        </w:rPr>
        <w:t>证券投资分析的基本要素包括： （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sz w:val="24"/>
          <w:szCs w:val="24"/>
        </w:rPr>
      </w:pPr>
      <w:r>
        <w:rPr>
          <w:rFonts w:hint="eastAsia" w:ascii="宋体" w:hAnsi="宋体"/>
          <w:sz w:val="24"/>
          <w:szCs w:val="24"/>
        </w:rPr>
        <w:t>A、信息 B、步骤 C、方法 D、博傻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9、KDJ指标的数值分析中，可以分为哪几个区域：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 xml:space="preserve">A、超买区 B、超卖区 C、极弱区 D、徘徊区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10、证券变现性又叫做： （ ）</w:t>
      </w:r>
    </w:p>
    <w:p>
      <w:pPr>
        <w:pStyle w:val="2"/>
        <w:keepNext w:val="0"/>
        <w:keepLines w:val="0"/>
        <w:pageBreakBefore w:val="0"/>
        <w:numPr>
          <w:ilvl w:val="0"/>
          <w:numId w:val="10"/>
        </w:numPr>
        <w:kinsoku/>
        <w:wordWrap/>
        <w:overflowPunct/>
        <w:topLinePunct w:val="0"/>
        <w:autoSpaceDE/>
        <w:autoSpaceDN/>
        <w:bidi w:val="0"/>
        <w:adjustRightInd/>
        <w:snapToGrid/>
        <w:spacing w:line="400" w:lineRule="exact"/>
        <w:textAlignment w:val="auto"/>
        <w:rPr>
          <w:rFonts w:hint="eastAsia" w:ascii="宋体" w:hAnsi="宋体"/>
          <w:sz w:val="24"/>
          <w:szCs w:val="24"/>
        </w:rPr>
      </w:pPr>
      <w:r>
        <w:rPr>
          <w:rFonts w:hint="eastAsia" w:ascii="宋体" w:hAnsi="宋体"/>
          <w:sz w:val="24"/>
          <w:szCs w:val="24"/>
        </w:rPr>
        <w:t>流动性 B、可兑换性 C、偿还性 D、价悖性</w:t>
      </w:r>
    </w:p>
    <w:p>
      <w:pPr>
        <w:pStyle w:val="2"/>
        <w:keepNext w:val="0"/>
        <w:keepLines w:val="0"/>
        <w:pageBreakBefore w:val="0"/>
        <w:numPr>
          <w:ilvl w:val="0"/>
          <w:numId w:val="11"/>
        </w:numPr>
        <w:kinsoku/>
        <w:wordWrap/>
        <w:overflowPunct/>
        <w:topLinePunct w:val="0"/>
        <w:autoSpaceDE/>
        <w:autoSpaceDN/>
        <w:bidi w:val="0"/>
        <w:adjustRightInd/>
        <w:snapToGrid/>
        <w:spacing w:line="400" w:lineRule="exact"/>
        <w:textAlignment w:val="auto"/>
        <w:rPr>
          <w:rFonts w:hint="eastAsia" w:hAnsi="宋体" w:cs="宋体"/>
          <w:b/>
          <w:kern w:val="0"/>
          <w:sz w:val="24"/>
          <w:szCs w:val="24"/>
          <w:lang w:val="en-US" w:eastAsia="zh-CN"/>
        </w:rPr>
      </w:pPr>
      <w:r>
        <w:rPr>
          <w:rFonts w:hint="eastAsia" w:hAnsi="宋体" w:cs="宋体"/>
          <w:b/>
          <w:kern w:val="0"/>
          <w:sz w:val="24"/>
          <w:szCs w:val="24"/>
          <w:lang w:val="en-US" w:eastAsia="zh-CN"/>
        </w:rPr>
        <w:t>判断题</w:t>
      </w:r>
    </w:p>
    <w:p>
      <w:pPr>
        <w:pStyle w:val="2"/>
        <w:keepNext w:val="0"/>
        <w:keepLines w:val="0"/>
        <w:pageBreakBefore w:val="0"/>
        <w:numPr>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1、垄断竞争市场行业的企业对产品的价格没有控制权。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2、优先股即具有优先购买权的股票。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3、价格优先原则表现为：价格较高的买进申报优先于价格较低的买进申报，价格较低的卖出申报优先于价格较高的卖给出申报。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4、如果ß（贝塔系数）值小于1，说明它的风险大于整个证券市场风险水平。</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5、通过有效的投资组合可以将非系统风险消除。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6、一般来说，机构的操作分为吸货、洗盘、拉升和出货四个阶段。（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7、利用MACD指标进行技术分析时，DIF上交叉DEA线，形成黄金交叉，同时，BAR（绿色柱状线）缩短，发出卖出信号。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8、证券投资的收益与风险成反比例互换关系，这种关系表现为：预期收益率=无风险利率+风险补偿。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9、头肩顶形态中，右肩形成时股价下跌突破颈线是一个卖出信号。（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8"/>
          <w:szCs w:val="28"/>
        </w:rPr>
      </w:pPr>
      <w:r>
        <w:rPr>
          <w:rFonts w:hint="eastAsia" w:asciiTheme="minorEastAsia" w:hAnsiTheme="minorEastAsia" w:eastAsiaTheme="minorEastAsia" w:cstheme="minorEastAsia"/>
          <w:sz w:val="24"/>
          <w:szCs w:val="24"/>
        </w:rPr>
        <w:t xml:space="preserve">10、看涨期权亦称为买入期权。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lang w:val="en-US" w:eastAsia="zh-CN"/>
        </w:rPr>
        <w:t>四</w:t>
      </w:r>
      <w:r>
        <w:rPr>
          <w:rFonts w:hint="eastAsia" w:hAnsi="宋体"/>
          <w:b/>
          <w:kern w:val="0"/>
          <w:sz w:val="24"/>
          <w:szCs w:val="24"/>
        </w:rPr>
        <w:t>、简答题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r>
        <w:rPr>
          <w:rFonts w:hint="eastAsia" w:hAnsi="宋体"/>
          <w:b/>
          <w:bCs w:val="0"/>
          <w:kern w:val="0"/>
          <w:sz w:val="24"/>
          <w:szCs w:val="24"/>
        </w:rPr>
        <w:t xml:space="preserve">1、我国刑法主要规定了哪五种证券犯罪行为？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numPr>
          <w:ilvl w:val="0"/>
          <w:numId w:val="12"/>
        </w:numPr>
        <w:kinsoku/>
        <w:wordWrap/>
        <w:overflowPunct/>
        <w:topLinePunct w:val="0"/>
        <w:autoSpaceDE/>
        <w:autoSpaceDN/>
        <w:bidi w:val="0"/>
        <w:adjustRightInd/>
        <w:snapToGrid/>
        <w:spacing w:line="400" w:lineRule="exact"/>
        <w:textAlignment w:val="auto"/>
        <w:rPr>
          <w:rFonts w:hint="eastAsia" w:hAnsi="宋体"/>
          <w:b/>
          <w:bCs w:val="0"/>
          <w:kern w:val="0"/>
          <w:sz w:val="24"/>
          <w:szCs w:val="24"/>
        </w:rPr>
      </w:pPr>
      <w:r>
        <w:rPr>
          <w:rFonts w:hint="eastAsia" w:hAnsi="宋体"/>
          <w:b/>
          <w:bCs w:val="0"/>
          <w:kern w:val="0"/>
          <w:sz w:val="24"/>
          <w:szCs w:val="24"/>
        </w:rPr>
        <w:t xml:space="preserve">股市上通常的解套策略主要哪五种？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bCs w:val="0"/>
          <w:kern w:val="0"/>
          <w:sz w:val="24"/>
          <w:szCs w:val="24"/>
        </w:rPr>
      </w:pPr>
    </w:p>
    <w:p>
      <w:pPr>
        <w:pStyle w:val="2"/>
        <w:keepNext w:val="0"/>
        <w:keepLines w:val="0"/>
        <w:pageBreakBefore w:val="0"/>
        <w:numPr>
          <w:ilvl w:val="0"/>
          <w:numId w:val="12"/>
        </w:numPr>
        <w:kinsoku/>
        <w:wordWrap/>
        <w:overflowPunct/>
        <w:topLinePunct w:val="0"/>
        <w:autoSpaceDE/>
        <w:autoSpaceDN/>
        <w:bidi w:val="0"/>
        <w:adjustRightInd/>
        <w:snapToGrid/>
        <w:spacing w:line="400" w:lineRule="exact"/>
        <w:ind w:left="0" w:leftChars="0" w:firstLine="0" w:firstLineChars="0"/>
        <w:textAlignment w:val="auto"/>
        <w:rPr>
          <w:rFonts w:hint="eastAsia" w:hAnsi="宋体"/>
          <w:b/>
          <w:bCs w:val="0"/>
          <w:kern w:val="0"/>
          <w:sz w:val="24"/>
          <w:szCs w:val="24"/>
        </w:rPr>
      </w:pPr>
      <w:r>
        <w:rPr>
          <w:rFonts w:hint="eastAsia" w:hAnsi="宋体"/>
          <w:b/>
          <w:bCs w:val="0"/>
          <w:kern w:val="0"/>
          <w:sz w:val="24"/>
          <w:szCs w:val="24"/>
        </w:rPr>
        <w:t xml:space="preserve">证券投资基金的目标一般有哪五种类型？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bCs w:val="0"/>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bCs w:val="0"/>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bCs w:val="0"/>
          <w:kern w:val="0"/>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b/>
          <w:bCs w:val="0"/>
          <w:kern w:val="0"/>
          <w:sz w:val="24"/>
          <w:szCs w:val="24"/>
        </w:rPr>
      </w:pPr>
      <w:r>
        <w:rPr>
          <w:rFonts w:hint="eastAsia" w:hAnsi="宋体"/>
          <w:b/>
          <w:bCs w:val="0"/>
          <w:kern w:val="0"/>
          <w:sz w:val="24"/>
          <w:szCs w:val="24"/>
        </w:rPr>
        <w:t>4、证券投资过程通常包括哪五个基本步骤？</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五、论述题</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1、请论述股票与债券的联系与区别？</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numPr>
          <w:ilvl w:val="0"/>
          <w:numId w:val="13"/>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 xml:space="preserve">证券投资的宏观经济分析主要包括哪些方面？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14"/>
        </w:numPr>
        <w:kinsoku/>
        <w:wordWrap/>
        <w:overflowPunct/>
        <w:topLinePunct w:val="0"/>
        <w:autoSpaceDE/>
        <w:autoSpaceDN/>
        <w:bidi w:val="0"/>
        <w:adjustRightInd/>
        <w:snapToGrid/>
        <w:spacing w:line="400" w:lineRule="exact"/>
        <w:textAlignment w:val="auto"/>
        <w:rPr>
          <w:rFonts w:hint="eastAsia" w:hAnsi="宋体" w:cs="Times New Roman"/>
          <w:lang w:eastAsia="zh-CN"/>
        </w:rPr>
      </w:pPr>
      <w:r>
        <w:rPr>
          <w:rFonts w:hint="eastAsia" w:hAnsi="宋体" w:cs="Times New Roman"/>
          <w:lang w:eastAsia="zh-CN"/>
        </w:rPr>
        <w:t>分析题</w:t>
      </w:r>
    </w:p>
    <w:p>
      <w:pPr>
        <w:pStyle w:val="2"/>
        <w:keepNext w:val="0"/>
        <w:keepLines w:val="0"/>
        <w:pageBreakBefore w:val="0"/>
        <w:numPr>
          <w:ilvl w:val="0"/>
          <w:numId w:val="15"/>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某种股票为固定成长股票，年增长率为5％，预期一年后的股利为6元，现行国库券的收益率为11％，平均风险股票的必要收益率等于16％，而该股票的贝他系数为1.2，那么，该股票的价值为多少元。</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lang w:val="en-US" w:eastAsia="zh-CN"/>
        </w:rPr>
        <w:t>2</w:t>
      </w:r>
      <w:r>
        <w:rPr>
          <w:rFonts w:hint="eastAsia" w:hAnsi="宋体" w:cs="Times New Roman"/>
        </w:rPr>
        <w:t>．公司2001年1月1日平价发行新债券，每张面值1 000元，票面利率10％，5年期，每年12月31日付息一次，到期按面值偿还（计算过程保留4位小数，结果保留2位小数）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要求：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（1）假定2001年1月1日的市场利率为12％，债券发行价格低于多少时公司将可能取消债券发行计划？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（2）假定2001年1月1日的市场利率为8％，公司每半年支付一次利息，债券发行价格高于多少时，你可能不再愿意购买？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eastAsia="zh-CN"/>
        </w:rPr>
      </w:pPr>
      <w:r>
        <w:rPr>
          <w:rFonts w:hint="eastAsia" w:hAnsi="宋体" w:cs="Times New Roman"/>
        </w:rPr>
        <w:t>（3）假定2005年1月1 日债券市价为1 042元，你期望的投资报酬率为 6％，此时你是否愿意购买？</w:t>
      </w:r>
      <w:r>
        <w:rPr>
          <w:rFonts w:hint="eastAsia" w:hAnsi="宋体" w:cs="Times New Roman"/>
          <w:lang w:eastAsia="zh-CN"/>
        </w:rPr>
        <w:br w:type="page"/>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lang w:eastAsia="zh-CN"/>
        </w:rPr>
        <w:t>一、</w:t>
      </w:r>
      <w:r>
        <w:rPr>
          <w:rFonts w:hint="eastAsia" w:hAnsi="宋体" w:cs="Times New Roman"/>
        </w:rPr>
        <w:t>单项选择题</w:t>
      </w:r>
      <w:bookmarkStart w:id="0" w:name="_GoBack"/>
      <w:bookmarkEnd w:id="0"/>
    </w:p>
    <w:p>
      <w:pPr>
        <w:pStyle w:val="2"/>
        <w:keepNext w:val="0"/>
        <w:keepLines w:val="0"/>
        <w:pageBreakBefore w:val="0"/>
        <w:numPr>
          <w:ilvl w:val="0"/>
          <w:numId w:val="16"/>
        </w:numPr>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r>
        <w:rPr>
          <w:rFonts w:hint="eastAsia" w:hAnsi="宋体" w:cs="Times New Roman"/>
        </w:rPr>
        <w:t>C 2、A 3、B 4、B 5、D 6、B 7、C 8、9、 10、</w:t>
      </w:r>
    </w:p>
    <w:p>
      <w:pPr>
        <w:pStyle w:val="2"/>
        <w:keepNext w:val="0"/>
        <w:keepLines w:val="0"/>
        <w:pageBreakBefore w:val="0"/>
        <w:numPr>
          <w:ilvl w:val="0"/>
          <w:numId w:val="17"/>
        </w:numPr>
        <w:kinsoku/>
        <w:wordWrap/>
        <w:overflowPunct/>
        <w:topLinePunct w:val="0"/>
        <w:autoSpaceDE/>
        <w:autoSpaceDN/>
        <w:bidi w:val="0"/>
        <w:adjustRightInd/>
        <w:snapToGrid/>
        <w:spacing w:line="400" w:lineRule="exact"/>
        <w:textAlignment w:val="auto"/>
        <w:rPr>
          <w:rFonts w:hint="eastAsia" w:hAnsi="宋体" w:cs="Times New Roman"/>
          <w:lang w:eastAsia="zh-CN"/>
        </w:rPr>
      </w:pPr>
      <w:r>
        <w:rPr>
          <w:rFonts w:hint="eastAsia" w:hAnsi="宋体" w:cs="Times New Roman"/>
          <w:lang w:eastAsia="zh-CN"/>
        </w:rPr>
        <w:t>多选题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default" w:hAnsi="宋体" w:cs="Times New Roman"/>
          <w:lang w:val="en-US" w:eastAsia="zh-CN"/>
        </w:rPr>
      </w:pPr>
      <w:r>
        <w:rPr>
          <w:rFonts w:hint="eastAsia" w:hAnsi="宋体" w:cs="Times New Roman"/>
          <w:lang w:val="en-US" w:eastAsia="zh-CN"/>
        </w:rPr>
        <w:t xml:space="preserve">1-5 BD  AC  ABD  BCDE  ABCD     6-10 ABD  BCD  </w:t>
      </w:r>
    </w:p>
    <w:p>
      <w:pPr>
        <w:pStyle w:val="2"/>
        <w:keepNext w:val="0"/>
        <w:keepLines w:val="0"/>
        <w:pageBreakBefore w:val="0"/>
        <w:numPr>
          <w:ilvl w:val="0"/>
          <w:numId w:val="17"/>
        </w:numPr>
        <w:kinsoku/>
        <w:wordWrap/>
        <w:overflowPunct/>
        <w:topLinePunct w:val="0"/>
        <w:autoSpaceDE/>
        <w:autoSpaceDN/>
        <w:bidi w:val="0"/>
        <w:adjustRightInd/>
        <w:snapToGrid/>
        <w:spacing w:line="400" w:lineRule="exact"/>
        <w:ind w:left="0" w:leftChars="0" w:firstLine="0" w:firstLineChars="0"/>
        <w:textAlignment w:val="auto"/>
        <w:rPr>
          <w:rFonts w:hint="eastAsia" w:hAnsi="宋体" w:cs="Times New Roman"/>
        </w:rPr>
      </w:pPr>
      <w:r>
        <w:rPr>
          <w:rFonts w:hint="eastAsia" w:hAnsi="宋体" w:cs="Times New Roman"/>
        </w:rPr>
        <w:t>判断题</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Times New Roman"/>
        </w:rPr>
      </w:pPr>
      <w:r>
        <w:rPr>
          <w:rFonts w:hint="eastAsia" w:hAnsi="宋体" w:cs="Times New Roman"/>
          <w:lang w:val="en-US" w:eastAsia="zh-CN"/>
        </w:rPr>
        <w:t>1</w:t>
      </w:r>
      <w:r>
        <w:rPr>
          <w:rFonts w:hint="eastAsia" w:hAnsi="宋体" w:cs="Times New Roman"/>
        </w:rPr>
        <w:t>×</w:t>
      </w:r>
      <w:r>
        <w:rPr>
          <w:rFonts w:hint="eastAsia" w:hAnsi="宋体" w:cs="Times New Roman"/>
          <w:lang w:val="en-US" w:eastAsia="zh-CN"/>
        </w:rPr>
        <w:t xml:space="preserve">  </w:t>
      </w:r>
      <w:r>
        <w:rPr>
          <w:rFonts w:hint="eastAsia" w:hAnsi="宋体" w:cs="Times New Roman"/>
        </w:rPr>
        <w:t>2、×</w:t>
      </w:r>
      <w:r>
        <w:rPr>
          <w:rFonts w:hint="eastAsia" w:hAnsi="宋体" w:cs="Times New Roman"/>
          <w:lang w:val="en-US" w:eastAsia="zh-CN"/>
        </w:rPr>
        <w:t xml:space="preserve">   </w:t>
      </w:r>
      <w:r>
        <w:rPr>
          <w:rFonts w:hint="eastAsia" w:hAnsi="宋体" w:cs="Times New Roman"/>
        </w:rPr>
        <w:t>3、√</w:t>
      </w:r>
      <w:r>
        <w:rPr>
          <w:rFonts w:hint="eastAsia" w:hAnsi="宋体" w:cs="Times New Roman"/>
          <w:lang w:val="en-US" w:eastAsia="zh-CN"/>
        </w:rPr>
        <w:t xml:space="preserve">   </w:t>
      </w:r>
      <w:r>
        <w:rPr>
          <w:rFonts w:hint="eastAsia" w:hAnsi="宋体" w:cs="Times New Roman"/>
        </w:rPr>
        <w:t xml:space="preserve">4、× </w:t>
      </w:r>
      <w:r>
        <w:rPr>
          <w:rFonts w:hint="eastAsia" w:hAnsi="宋体" w:cs="Times New Roman"/>
          <w:lang w:val="en-US" w:eastAsia="zh-CN"/>
        </w:rPr>
        <w:t xml:space="preserve">   </w:t>
      </w:r>
      <w:r>
        <w:rPr>
          <w:rFonts w:hint="eastAsia" w:hAnsi="宋体" w:cs="Times New Roman"/>
        </w:rPr>
        <w:t>5、√</w:t>
      </w:r>
      <w:r>
        <w:rPr>
          <w:rFonts w:hint="eastAsia" w:hAnsi="宋体" w:cs="Times New Roman"/>
          <w:lang w:val="en-US" w:eastAsia="zh-CN"/>
        </w:rPr>
        <w:t xml:space="preserve">    </w:t>
      </w:r>
      <w:r>
        <w:rPr>
          <w:rFonts w:hint="eastAsia" w:hAnsi="宋体" w:cs="Times New Roman"/>
        </w:rPr>
        <w:t>6、×</w:t>
      </w:r>
      <w:r>
        <w:rPr>
          <w:rFonts w:hint="eastAsia" w:hAnsi="宋体" w:cs="Times New Roman"/>
          <w:lang w:val="en-US" w:eastAsia="zh-CN"/>
        </w:rPr>
        <w:t xml:space="preserve">    </w:t>
      </w:r>
      <w:r>
        <w:rPr>
          <w:rFonts w:hint="eastAsia" w:hAnsi="宋体" w:cs="Times New Roman"/>
        </w:rPr>
        <w:t>7、×</w:t>
      </w:r>
      <w:r>
        <w:rPr>
          <w:rFonts w:hint="eastAsia" w:hAnsi="宋体" w:cs="Times New Roman"/>
          <w:lang w:val="en-US" w:eastAsia="zh-CN"/>
        </w:rPr>
        <w:t xml:space="preserve">    </w:t>
      </w:r>
      <w:r>
        <w:rPr>
          <w:rFonts w:hint="eastAsia" w:hAnsi="宋体" w:cs="Times New Roman"/>
        </w:rPr>
        <w:t>8、</w:t>
      </w:r>
      <w:r>
        <w:rPr>
          <w:rFonts w:hint="eastAsia" w:hAnsi="宋体" w:cs="Times New Roman"/>
          <w:lang w:val="en-US" w:eastAsia="zh-CN"/>
        </w:rPr>
        <w:t xml:space="preserve">   </w:t>
      </w:r>
      <w:r>
        <w:rPr>
          <w:rFonts w:hint="eastAsia" w:hAnsi="宋体" w:cs="Times New Roman"/>
        </w:rPr>
        <w:t>9、</w:t>
      </w:r>
      <w:r>
        <w:rPr>
          <w:rFonts w:hint="eastAsia" w:hAnsi="宋体" w:cs="Times New Roman"/>
          <w:lang w:val="en-US" w:eastAsia="zh-CN"/>
        </w:rPr>
        <w:t xml:space="preserve">  </w:t>
      </w:r>
      <w:r>
        <w:rPr>
          <w:rFonts w:hint="eastAsia" w:hAnsi="宋体" w:cs="Times New Roman"/>
        </w:rPr>
        <w:t>10、</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lang w:val="en-US" w:eastAsia="zh-CN"/>
        </w:rPr>
      </w:pPr>
      <w:r>
        <w:rPr>
          <w:rFonts w:hint="eastAsia" w:hAnsi="宋体" w:cs="Times New Roman"/>
          <w:lang w:eastAsia="zh-CN"/>
        </w:rPr>
        <w:t>四、简答题</w:t>
      </w:r>
      <w:r>
        <w:rPr>
          <w:rFonts w:hint="eastAsia" w:hAnsi="宋体" w:cs="Times New Roman"/>
          <w:lang w:val="en-US" w:eastAsia="zh-CN"/>
        </w:rPr>
        <w:t xml:space="preserve"> </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1、答：第一，擅自发行股票和公司、企业债券罪</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第二、内幕交易、泄露内幕交易罪 第三、编造并传播证券交易虚假信息罪 第四、诱骗投资者买卖证券罪 第五、操纵证券交易价格罪</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2、答：通常的解套策略主要有以下五种：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 xml:space="preserve">(一)以快刀斩乱麻的方式停损了结 (二)弃弱择强，换股操作 (三)采用拨档子的方式进行操作 (四)采取向下平摊的操作方法 (五)采取以不变应万变的“不卖不赔”方法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 xml:space="preserve">3、答： 1）积极成长型基金 2）成长型基金 3）稳健成长型基金 4）平衡型基金 5）收入型基金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4、答：</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五、论述题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1、</w:t>
      </w:r>
      <w:r>
        <w:rPr>
          <w:rFonts w:hint="eastAsia" w:hAnsi="宋体" w:cs="Times New Roman"/>
          <w:lang w:eastAsia="zh-CN"/>
        </w:rPr>
        <w:t>一、）</w:t>
      </w:r>
      <w:r>
        <w:rPr>
          <w:rFonts w:hint="eastAsia" w:hAnsi="宋体" w:cs="Times New Roman"/>
        </w:rPr>
        <w:t xml:space="preserve">两者都属于有价证券 2、两者都是筹措资金的手段 3、两者的收益率相互影响 二）债券与股票的不同点 1、两者权利不同 2、两者的目的不同 3、两者期限不同 4、两者收益不同 5、两者风险不同 </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lang w:val="en-US" w:eastAsia="zh-CN"/>
        </w:rPr>
        <w:t>2</w:t>
      </w:r>
      <w:r>
        <w:rPr>
          <w:rFonts w:hint="eastAsia" w:hAnsi="宋体" w:cs="Times New Roman"/>
        </w:rPr>
        <w:t>、答：宏观经济分析是考察一些客观经济因素对证券投资的影响。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宏观经济分析最主要的指标包括国民经济状况指标和经济周期指标，通货膨胀率、市场利率、货币政策、财政政策等因素。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一）国民生产总值分析一般来说，真实国民生产总值持续增长，表明国民经济繁荣景气，大多数公司、企业经营状况较好，盈利较多，人们对未来产生好的预期，投资于普通股的收益将大大提高；反之亦然。</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 xml:space="preserve">国民生产总值按支出可划分为私人投资、私人消费、政府购买和净出口四部分。投资者可根据国民生产总值及其构成等信息资料判断整个经济总的前景以及行业发展趋势，从而为证券投资奠定基础。持续稳定高速的GNP增长，证券市场总体呈上升趋势。高通货膨胀下的GNP增长最终将导致证券市场价格的下跌。宏观调控下的GNP减速增长将使证券市场呈平稳渐升的态势。我们在证券投资中进行GNP变动分析时必须着眼于未来。 </w:t>
      </w:r>
    </w:p>
    <w:p>
      <w:pPr>
        <w:pStyle w:val="2"/>
        <w:keepNext w:val="0"/>
        <w:keepLines w:val="0"/>
        <w:pageBreakBefore w:val="0"/>
        <w:numPr>
          <w:ilvl w:val="0"/>
          <w:numId w:val="18"/>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rPr>
        <w:t xml:space="preserve">经济周期分析经济周期对证券价格有极其重要的影响。经济周期与股价之间存在着相当的关联性。经济周期的波动可以通过很多指标来衡量和预测，按时间划分可分为先行指标、重合指标和后续指标。 </w:t>
      </w:r>
    </w:p>
    <w:p>
      <w:pPr>
        <w:pStyle w:val="2"/>
        <w:keepNext w:val="0"/>
        <w:keepLines w:val="0"/>
        <w:pageBreakBefore w:val="0"/>
        <w:numPr>
          <w:ilvl w:val="0"/>
          <w:numId w:val="18"/>
        </w:numPr>
        <w:kinsoku/>
        <w:wordWrap/>
        <w:overflowPunct/>
        <w:topLinePunct w:val="0"/>
        <w:autoSpaceDE/>
        <w:autoSpaceDN/>
        <w:bidi w:val="0"/>
        <w:adjustRightInd/>
        <w:snapToGrid/>
        <w:spacing w:line="400" w:lineRule="exact"/>
        <w:ind w:left="0" w:leftChars="0" w:firstLine="0" w:firstLineChars="0"/>
        <w:textAlignment w:val="auto"/>
        <w:rPr>
          <w:rFonts w:hint="eastAsia" w:hAnsi="宋体" w:cs="Times New Roman"/>
        </w:rPr>
      </w:pPr>
      <w:r>
        <w:rPr>
          <w:rFonts w:hint="eastAsia" w:hAnsi="宋体" w:cs="Times New Roman"/>
        </w:rPr>
        <w:t xml:space="preserve">通货膨胀因素分析通货膨胀对证券投资的影响很大，它既有刺激推动证券市场价格的作用，又有相反的压抑作用，而且这种影响也较复杂，完全可能同时产生相反方向的影响。 </w:t>
      </w:r>
    </w:p>
    <w:p>
      <w:pPr>
        <w:pStyle w:val="2"/>
        <w:keepNext w:val="0"/>
        <w:keepLines w:val="0"/>
        <w:pageBreakBefore w:val="0"/>
        <w:numPr>
          <w:ilvl w:val="0"/>
          <w:numId w:val="18"/>
        </w:numPr>
        <w:kinsoku/>
        <w:wordWrap/>
        <w:overflowPunct/>
        <w:topLinePunct w:val="0"/>
        <w:autoSpaceDE/>
        <w:autoSpaceDN/>
        <w:bidi w:val="0"/>
        <w:adjustRightInd/>
        <w:snapToGrid/>
        <w:spacing w:line="400" w:lineRule="exact"/>
        <w:ind w:left="0" w:leftChars="0" w:firstLine="0" w:firstLineChars="0"/>
        <w:textAlignment w:val="auto"/>
        <w:rPr>
          <w:rFonts w:hint="eastAsia" w:hAnsi="宋体" w:cs="Times New Roman"/>
        </w:rPr>
      </w:pPr>
      <w:r>
        <w:rPr>
          <w:rFonts w:hint="eastAsia" w:hAnsi="宋体" w:cs="Times New Roman"/>
        </w:rPr>
        <w:t>市场利率因素分析市场利率与证券市场呈反方向变动。</w:t>
      </w:r>
    </w:p>
    <w:p>
      <w:pPr>
        <w:pStyle w:val="2"/>
        <w:keepNext w:val="0"/>
        <w:keepLines w:val="0"/>
        <w:pageBreakBefore w:val="0"/>
        <w:numPr>
          <w:ilvl w:val="0"/>
          <w:numId w:val="18"/>
        </w:numPr>
        <w:kinsoku/>
        <w:wordWrap/>
        <w:overflowPunct/>
        <w:topLinePunct w:val="0"/>
        <w:autoSpaceDE/>
        <w:autoSpaceDN/>
        <w:bidi w:val="0"/>
        <w:adjustRightInd/>
        <w:snapToGrid/>
        <w:spacing w:line="400" w:lineRule="exact"/>
        <w:ind w:left="0" w:leftChars="0" w:firstLine="0" w:firstLineChars="0"/>
        <w:textAlignment w:val="auto"/>
        <w:rPr>
          <w:rFonts w:hint="eastAsia" w:hAnsi="宋体" w:cs="Times New Roman"/>
        </w:rPr>
      </w:pPr>
      <w:r>
        <w:rPr>
          <w:rFonts w:hint="eastAsia" w:hAnsi="宋体" w:cs="Times New Roman"/>
        </w:rPr>
        <w:t>货币政策货币政策主要借助于中央银行的存款准备金率政策、在贴现政策和公开市场政策工具，来调控货币供给量，从而对证券市场产生影响。</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hAnsi="宋体" w:cs="Times New Roman"/>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cs="Times New Roman"/>
          <w:lang w:eastAsia="zh-CN"/>
        </w:rPr>
        <w:t>六、分析题</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drawing>
          <wp:inline distT="0" distB="0" distL="114300" distR="114300">
            <wp:extent cx="5272405" cy="789305"/>
            <wp:effectExtent l="0" t="0" r="4445" b="10795"/>
            <wp:docPr id="5" name="图片 5"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
                    <pic:cNvPicPr>
                      <a:picLocks noChangeAspect="1"/>
                    </pic:cNvPicPr>
                  </pic:nvPicPr>
                  <pic:blipFill>
                    <a:blip r:embed="rId5"/>
                    <a:stretch>
                      <a:fillRect/>
                    </a:stretch>
                  </pic:blipFill>
                  <pic:spPr>
                    <a:xfrm>
                      <a:off x="0" y="0"/>
                      <a:ext cx="5272405" cy="789305"/>
                    </a:xfrm>
                    <a:prstGeom prst="rect">
                      <a:avLst/>
                    </a:prstGeom>
                  </pic:spPr>
                </pic:pic>
              </a:graphicData>
            </a:graphic>
          </wp:inline>
        </w:drawing>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hAnsi="宋体" w:cs="Times New Roman"/>
          <w:lang w:eastAsia="zh-CN"/>
        </w:rPr>
      </w:pPr>
      <w:r>
        <w:rPr>
          <w:rFonts w:hint="eastAsia" w:hAnsi="宋体" w:cs="Times New Roman"/>
          <w:lang w:eastAsia="zh-CN"/>
        </w:rPr>
        <w:drawing>
          <wp:inline distT="0" distB="0" distL="114300" distR="114300">
            <wp:extent cx="5269865" cy="3771265"/>
            <wp:effectExtent l="0" t="0" r="6985" b="635"/>
            <wp:docPr id="6" name="图片 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1"/>
                    <pic:cNvPicPr>
                      <a:picLocks noChangeAspect="1"/>
                    </pic:cNvPicPr>
                  </pic:nvPicPr>
                  <pic:blipFill>
                    <a:blip r:embed="rId6"/>
                    <a:stretch>
                      <a:fillRect/>
                    </a:stretch>
                  </pic:blipFill>
                  <pic:spPr>
                    <a:xfrm>
                      <a:off x="0" y="0"/>
                      <a:ext cx="5269865" cy="3771265"/>
                    </a:xfrm>
                    <a:prstGeom prst="rect">
                      <a:avLst/>
                    </a:prstGeom>
                  </pic:spPr>
                </pic:pic>
              </a:graphicData>
            </a:graphic>
          </wp:inline>
        </w:drawing>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hAnsi="宋体" w:cs="Times New Roman"/>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AEF24E"/>
    <w:multiLevelType w:val="singleLevel"/>
    <w:tmpl w:val="93AEF24E"/>
    <w:lvl w:ilvl="0" w:tentative="0">
      <w:start w:val="1"/>
      <w:numFmt w:val="upperLetter"/>
      <w:suff w:val="nothing"/>
      <w:lvlText w:val="%1、"/>
      <w:lvlJc w:val="left"/>
    </w:lvl>
  </w:abstractNum>
  <w:abstractNum w:abstractNumId="1">
    <w:nsid w:val="95FFFB3B"/>
    <w:multiLevelType w:val="singleLevel"/>
    <w:tmpl w:val="95FFFB3B"/>
    <w:lvl w:ilvl="0" w:tentative="0">
      <w:start w:val="1"/>
      <w:numFmt w:val="upperLetter"/>
      <w:suff w:val="nothing"/>
      <w:lvlText w:val="%1、"/>
      <w:lvlJc w:val="left"/>
    </w:lvl>
  </w:abstractNum>
  <w:abstractNum w:abstractNumId="2">
    <w:nsid w:val="AB78A011"/>
    <w:multiLevelType w:val="singleLevel"/>
    <w:tmpl w:val="AB78A011"/>
    <w:lvl w:ilvl="0" w:tentative="0">
      <w:start w:val="6"/>
      <w:numFmt w:val="chineseCounting"/>
      <w:suff w:val="nothing"/>
      <w:lvlText w:val="%1、"/>
      <w:lvlJc w:val="left"/>
      <w:rPr>
        <w:rFonts w:hint="eastAsia"/>
      </w:rPr>
    </w:lvl>
  </w:abstractNum>
  <w:abstractNum w:abstractNumId="3">
    <w:nsid w:val="B9052364"/>
    <w:multiLevelType w:val="singleLevel"/>
    <w:tmpl w:val="B9052364"/>
    <w:lvl w:ilvl="0" w:tentative="0">
      <w:start w:val="1"/>
      <w:numFmt w:val="upperLetter"/>
      <w:suff w:val="nothing"/>
      <w:lvlText w:val="%1、"/>
      <w:lvlJc w:val="left"/>
    </w:lvl>
  </w:abstractNum>
  <w:abstractNum w:abstractNumId="4">
    <w:nsid w:val="C84EACCC"/>
    <w:multiLevelType w:val="singleLevel"/>
    <w:tmpl w:val="C84EACCC"/>
    <w:lvl w:ilvl="0" w:tentative="0">
      <w:start w:val="1"/>
      <w:numFmt w:val="upperLetter"/>
      <w:suff w:val="nothing"/>
      <w:lvlText w:val="%1、"/>
      <w:lvlJc w:val="left"/>
    </w:lvl>
  </w:abstractNum>
  <w:abstractNum w:abstractNumId="5">
    <w:nsid w:val="CA23CE4F"/>
    <w:multiLevelType w:val="singleLevel"/>
    <w:tmpl w:val="CA23CE4F"/>
    <w:lvl w:ilvl="0" w:tentative="0">
      <w:start w:val="1"/>
      <w:numFmt w:val="decimal"/>
      <w:suff w:val="nothing"/>
      <w:lvlText w:val="%1、"/>
      <w:lvlJc w:val="left"/>
    </w:lvl>
  </w:abstractNum>
  <w:abstractNum w:abstractNumId="6">
    <w:nsid w:val="DC26F9E8"/>
    <w:multiLevelType w:val="singleLevel"/>
    <w:tmpl w:val="DC26F9E8"/>
    <w:lvl w:ilvl="0" w:tentative="0">
      <w:start w:val="1"/>
      <w:numFmt w:val="decimal"/>
      <w:suff w:val="nothing"/>
      <w:lvlText w:val="%1．"/>
      <w:lvlJc w:val="left"/>
    </w:lvl>
  </w:abstractNum>
  <w:abstractNum w:abstractNumId="7">
    <w:nsid w:val="E3206DDA"/>
    <w:multiLevelType w:val="singleLevel"/>
    <w:tmpl w:val="E3206DDA"/>
    <w:lvl w:ilvl="0" w:tentative="0">
      <w:start w:val="2"/>
      <w:numFmt w:val="chineseCounting"/>
      <w:suff w:val="nothing"/>
      <w:lvlText w:val="%1）"/>
      <w:lvlJc w:val="left"/>
      <w:rPr>
        <w:rFonts w:hint="eastAsia"/>
      </w:rPr>
    </w:lvl>
  </w:abstractNum>
  <w:abstractNum w:abstractNumId="8">
    <w:nsid w:val="EE96EF0E"/>
    <w:multiLevelType w:val="singleLevel"/>
    <w:tmpl w:val="EE96EF0E"/>
    <w:lvl w:ilvl="0" w:tentative="0">
      <w:start w:val="1"/>
      <w:numFmt w:val="upperLetter"/>
      <w:suff w:val="nothing"/>
      <w:lvlText w:val="%1、"/>
      <w:lvlJc w:val="left"/>
    </w:lvl>
  </w:abstractNum>
  <w:abstractNum w:abstractNumId="9">
    <w:nsid w:val="FACBEED1"/>
    <w:multiLevelType w:val="singleLevel"/>
    <w:tmpl w:val="FACBEED1"/>
    <w:lvl w:ilvl="0" w:tentative="0">
      <w:start w:val="1"/>
      <w:numFmt w:val="upperLetter"/>
      <w:suff w:val="nothing"/>
      <w:lvlText w:val="%1、"/>
      <w:lvlJc w:val="left"/>
    </w:lvl>
  </w:abstractNum>
  <w:abstractNum w:abstractNumId="10">
    <w:nsid w:val="00B06289"/>
    <w:multiLevelType w:val="singleLevel"/>
    <w:tmpl w:val="00B06289"/>
    <w:lvl w:ilvl="0" w:tentative="0">
      <w:start w:val="1"/>
      <w:numFmt w:val="upperLetter"/>
      <w:suff w:val="nothing"/>
      <w:lvlText w:val="%1、"/>
      <w:lvlJc w:val="left"/>
    </w:lvl>
  </w:abstractNum>
  <w:abstractNum w:abstractNumId="11">
    <w:nsid w:val="11E10E94"/>
    <w:multiLevelType w:val="singleLevel"/>
    <w:tmpl w:val="11E10E94"/>
    <w:lvl w:ilvl="0" w:tentative="0">
      <w:start w:val="2"/>
      <w:numFmt w:val="chineseCounting"/>
      <w:suff w:val="nothing"/>
      <w:lvlText w:val="%1、"/>
      <w:lvlJc w:val="left"/>
      <w:rPr>
        <w:rFonts w:hint="eastAsia"/>
      </w:rPr>
    </w:lvl>
  </w:abstractNum>
  <w:abstractNum w:abstractNumId="12">
    <w:nsid w:val="2602B52E"/>
    <w:multiLevelType w:val="singleLevel"/>
    <w:tmpl w:val="2602B52E"/>
    <w:lvl w:ilvl="0" w:tentative="0">
      <w:start w:val="3"/>
      <w:numFmt w:val="chineseCounting"/>
      <w:suff w:val="nothing"/>
      <w:lvlText w:val="%1、"/>
      <w:lvlJc w:val="left"/>
      <w:rPr>
        <w:rFonts w:hint="eastAsia"/>
      </w:rPr>
    </w:lvl>
  </w:abstractNum>
  <w:abstractNum w:abstractNumId="13">
    <w:nsid w:val="38C48E6A"/>
    <w:multiLevelType w:val="singleLevel"/>
    <w:tmpl w:val="38C48E6A"/>
    <w:lvl w:ilvl="0" w:tentative="0">
      <w:start w:val="5"/>
      <w:numFmt w:val="decimal"/>
      <w:suff w:val="nothing"/>
      <w:lvlText w:val="%1、"/>
      <w:lvlJc w:val="left"/>
    </w:lvl>
  </w:abstractNum>
  <w:abstractNum w:abstractNumId="14">
    <w:nsid w:val="3F3CC721"/>
    <w:multiLevelType w:val="singleLevel"/>
    <w:tmpl w:val="3F3CC721"/>
    <w:lvl w:ilvl="0" w:tentative="0">
      <w:start w:val="2"/>
      <w:numFmt w:val="decimal"/>
      <w:suff w:val="nothing"/>
      <w:lvlText w:val="%1、"/>
      <w:lvlJc w:val="left"/>
    </w:lvl>
  </w:abstractNum>
  <w:abstractNum w:abstractNumId="15">
    <w:nsid w:val="4482B2FD"/>
    <w:multiLevelType w:val="singleLevel"/>
    <w:tmpl w:val="4482B2FD"/>
    <w:lvl w:ilvl="0" w:tentative="0">
      <w:start w:val="1"/>
      <w:numFmt w:val="upperLetter"/>
      <w:suff w:val="nothing"/>
      <w:lvlText w:val="%1、"/>
      <w:lvlJc w:val="left"/>
    </w:lvl>
  </w:abstractNum>
  <w:abstractNum w:abstractNumId="16">
    <w:nsid w:val="60DA77E2"/>
    <w:multiLevelType w:val="singleLevel"/>
    <w:tmpl w:val="60DA77E2"/>
    <w:lvl w:ilvl="0" w:tentative="0">
      <w:start w:val="1"/>
      <w:numFmt w:val="upperLetter"/>
      <w:suff w:val="nothing"/>
      <w:lvlText w:val="%1、"/>
      <w:lvlJc w:val="left"/>
    </w:lvl>
  </w:abstractNum>
  <w:abstractNum w:abstractNumId="17">
    <w:nsid w:val="67D365C6"/>
    <w:multiLevelType w:val="singleLevel"/>
    <w:tmpl w:val="67D365C6"/>
    <w:lvl w:ilvl="0" w:tentative="0">
      <w:start w:val="2"/>
      <w:numFmt w:val="decimal"/>
      <w:suff w:val="nothing"/>
      <w:lvlText w:val="%1、"/>
      <w:lvlJc w:val="left"/>
    </w:lvl>
  </w:abstractNum>
  <w:num w:numId="1">
    <w:abstractNumId w:val="4"/>
  </w:num>
  <w:num w:numId="2">
    <w:abstractNumId w:val="3"/>
  </w:num>
  <w:num w:numId="3">
    <w:abstractNumId w:val="8"/>
  </w:num>
  <w:num w:numId="4">
    <w:abstractNumId w:val="10"/>
  </w:num>
  <w:num w:numId="5">
    <w:abstractNumId w:val="9"/>
  </w:num>
  <w:num w:numId="6">
    <w:abstractNumId w:val="13"/>
  </w:num>
  <w:num w:numId="7">
    <w:abstractNumId w:val="1"/>
  </w:num>
  <w:num w:numId="8">
    <w:abstractNumId w:val="0"/>
  </w:num>
  <w:num w:numId="9">
    <w:abstractNumId w:val="15"/>
  </w:num>
  <w:num w:numId="10">
    <w:abstractNumId w:val="16"/>
  </w:num>
  <w:num w:numId="11">
    <w:abstractNumId w:val="12"/>
  </w:num>
  <w:num w:numId="12">
    <w:abstractNumId w:val="17"/>
  </w:num>
  <w:num w:numId="13">
    <w:abstractNumId w:val="14"/>
  </w:num>
  <w:num w:numId="14">
    <w:abstractNumId w:val="2"/>
  </w:num>
  <w:num w:numId="15">
    <w:abstractNumId w:val="6"/>
  </w:num>
  <w:num w:numId="16">
    <w:abstractNumId w:val="5"/>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xYzM3OTFhZWVhNzFhNmRjMmU4ZDMyY2Q2ZWNlNTYifQ=="/>
  </w:docVars>
  <w:rsids>
    <w:rsidRoot w:val="47182FBE"/>
    <w:rsid w:val="01AF7546"/>
    <w:rsid w:val="0235098F"/>
    <w:rsid w:val="032C7277"/>
    <w:rsid w:val="038D3C75"/>
    <w:rsid w:val="03CF7003"/>
    <w:rsid w:val="03D90A78"/>
    <w:rsid w:val="0413128B"/>
    <w:rsid w:val="045231A1"/>
    <w:rsid w:val="04566898"/>
    <w:rsid w:val="045E7151"/>
    <w:rsid w:val="04BD711A"/>
    <w:rsid w:val="04D034ED"/>
    <w:rsid w:val="0567153F"/>
    <w:rsid w:val="05B42046"/>
    <w:rsid w:val="060C2F75"/>
    <w:rsid w:val="06804C49"/>
    <w:rsid w:val="07736C4C"/>
    <w:rsid w:val="07CD6F30"/>
    <w:rsid w:val="09137CBF"/>
    <w:rsid w:val="099217EA"/>
    <w:rsid w:val="0A0D7C28"/>
    <w:rsid w:val="0A3009B5"/>
    <w:rsid w:val="0A380BD9"/>
    <w:rsid w:val="0A5752D5"/>
    <w:rsid w:val="0A6E5100"/>
    <w:rsid w:val="0ABB5C87"/>
    <w:rsid w:val="0AEC2C21"/>
    <w:rsid w:val="0B6946D3"/>
    <w:rsid w:val="0D60163E"/>
    <w:rsid w:val="0DB7027D"/>
    <w:rsid w:val="0DE90BAE"/>
    <w:rsid w:val="0E44619C"/>
    <w:rsid w:val="0E4B79C0"/>
    <w:rsid w:val="0EE4539A"/>
    <w:rsid w:val="0FDD19DC"/>
    <w:rsid w:val="101265C3"/>
    <w:rsid w:val="10286D1B"/>
    <w:rsid w:val="105E02F3"/>
    <w:rsid w:val="11615AF8"/>
    <w:rsid w:val="11C31D2F"/>
    <w:rsid w:val="11E22E82"/>
    <w:rsid w:val="12761161"/>
    <w:rsid w:val="129027B3"/>
    <w:rsid w:val="12F549AA"/>
    <w:rsid w:val="135933C0"/>
    <w:rsid w:val="1375008C"/>
    <w:rsid w:val="1390354F"/>
    <w:rsid w:val="13A36946"/>
    <w:rsid w:val="13FA389B"/>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046311"/>
    <w:rsid w:val="17570C01"/>
    <w:rsid w:val="17F92AF4"/>
    <w:rsid w:val="18216ACF"/>
    <w:rsid w:val="183227A4"/>
    <w:rsid w:val="18464622"/>
    <w:rsid w:val="18786D82"/>
    <w:rsid w:val="18E112A2"/>
    <w:rsid w:val="195B0DCE"/>
    <w:rsid w:val="199C1DE4"/>
    <w:rsid w:val="19CB25D7"/>
    <w:rsid w:val="1A595377"/>
    <w:rsid w:val="1A682A27"/>
    <w:rsid w:val="1B954408"/>
    <w:rsid w:val="1B9B4E20"/>
    <w:rsid w:val="1BD828E0"/>
    <w:rsid w:val="1BDE5224"/>
    <w:rsid w:val="1BEE2F17"/>
    <w:rsid w:val="1C440FEA"/>
    <w:rsid w:val="1C4709A0"/>
    <w:rsid w:val="1C4D1009"/>
    <w:rsid w:val="1D467365"/>
    <w:rsid w:val="1DC753FC"/>
    <w:rsid w:val="1E1647EB"/>
    <w:rsid w:val="1E6E61B4"/>
    <w:rsid w:val="1E977720"/>
    <w:rsid w:val="1EA128F4"/>
    <w:rsid w:val="1F2C2B10"/>
    <w:rsid w:val="1F361A21"/>
    <w:rsid w:val="1F516742"/>
    <w:rsid w:val="1F6B33E3"/>
    <w:rsid w:val="20574066"/>
    <w:rsid w:val="20D008D1"/>
    <w:rsid w:val="21290EA2"/>
    <w:rsid w:val="212A12E2"/>
    <w:rsid w:val="213A5CF6"/>
    <w:rsid w:val="216E6F88"/>
    <w:rsid w:val="218C60CE"/>
    <w:rsid w:val="21A8107F"/>
    <w:rsid w:val="224D57EA"/>
    <w:rsid w:val="228B7A9D"/>
    <w:rsid w:val="228D6CAF"/>
    <w:rsid w:val="22A132A2"/>
    <w:rsid w:val="22DE3463"/>
    <w:rsid w:val="233935EB"/>
    <w:rsid w:val="2381642D"/>
    <w:rsid w:val="24E41DDB"/>
    <w:rsid w:val="256323E6"/>
    <w:rsid w:val="25C44178"/>
    <w:rsid w:val="25D91FD7"/>
    <w:rsid w:val="26176ABD"/>
    <w:rsid w:val="262C3ECA"/>
    <w:rsid w:val="264D499C"/>
    <w:rsid w:val="276A685A"/>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E25A88"/>
    <w:rsid w:val="2DE31F91"/>
    <w:rsid w:val="2E2F1DB3"/>
    <w:rsid w:val="2ED9385E"/>
    <w:rsid w:val="2F227141"/>
    <w:rsid w:val="2F360C3E"/>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A11118"/>
    <w:rsid w:val="33B1199F"/>
    <w:rsid w:val="33ED43D9"/>
    <w:rsid w:val="340D733D"/>
    <w:rsid w:val="341A5636"/>
    <w:rsid w:val="34762AA5"/>
    <w:rsid w:val="34F04DAD"/>
    <w:rsid w:val="355714C8"/>
    <w:rsid w:val="35FF78A3"/>
    <w:rsid w:val="365B09E9"/>
    <w:rsid w:val="36C54CA4"/>
    <w:rsid w:val="37F00903"/>
    <w:rsid w:val="3883099A"/>
    <w:rsid w:val="393C030E"/>
    <w:rsid w:val="396F084A"/>
    <w:rsid w:val="3A9E3F39"/>
    <w:rsid w:val="3B7A6752"/>
    <w:rsid w:val="3BA05920"/>
    <w:rsid w:val="3C753986"/>
    <w:rsid w:val="3CDA617F"/>
    <w:rsid w:val="3D6E5DC9"/>
    <w:rsid w:val="3D9115B8"/>
    <w:rsid w:val="3D980129"/>
    <w:rsid w:val="3E012BEE"/>
    <w:rsid w:val="3E183769"/>
    <w:rsid w:val="3E531FC2"/>
    <w:rsid w:val="3E921015"/>
    <w:rsid w:val="3E9F6D67"/>
    <w:rsid w:val="3EA83707"/>
    <w:rsid w:val="3EDA7B4A"/>
    <w:rsid w:val="3F4E67E9"/>
    <w:rsid w:val="3FB1491A"/>
    <w:rsid w:val="3FF35B84"/>
    <w:rsid w:val="406E2A6C"/>
    <w:rsid w:val="40D459D5"/>
    <w:rsid w:val="41656F50"/>
    <w:rsid w:val="41716048"/>
    <w:rsid w:val="418635A0"/>
    <w:rsid w:val="41D25AC9"/>
    <w:rsid w:val="41F1681E"/>
    <w:rsid w:val="4202547E"/>
    <w:rsid w:val="42530FC7"/>
    <w:rsid w:val="43B43258"/>
    <w:rsid w:val="43B5033D"/>
    <w:rsid w:val="43E16D46"/>
    <w:rsid w:val="442546D9"/>
    <w:rsid w:val="44513802"/>
    <w:rsid w:val="44533276"/>
    <w:rsid w:val="45542425"/>
    <w:rsid w:val="45574172"/>
    <w:rsid w:val="456F42F5"/>
    <w:rsid w:val="45713165"/>
    <w:rsid w:val="45741D23"/>
    <w:rsid w:val="45933F3E"/>
    <w:rsid w:val="459A4E8B"/>
    <w:rsid w:val="4624516B"/>
    <w:rsid w:val="46890040"/>
    <w:rsid w:val="46F90D5E"/>
    <w:rsid w:val="47182FBE"/>
    <w:rsid w:val="47A13547"/>
    <w:rsid w:val="47A86154"/>
    <w:rsid w:val="47F95A57"/>
    <w:rsid w:val="48524DCA"/>
    <w:rsid w:val="485B1451"/>
    <w:rsid w:val="48AB716C"/>
    <w:rsid w:val="48CA6084"/>
    <w:rsid w:val="48D857EC"/>
    <w:rsid w:val="48E216EE"/>
    <w:rsid w:val="48E709C4"/>
    <w:rsid w:val="495C58E5"/>
    <w:rsid w:val="4A084E26"/>
    <w:rsid w:val="4A842FEF"/>
    <w:rsid w:val="4AF84A86"/>
    <w:rsid w:val="4BA84FD1"/>
    <w:rsid w:val="4BC549F7"/>
    <w:rsid w:val="4BDC6F27"/>
    <w:rsid w:val="4C2B38C2"/>
    <w:rsid w:val="4C62795D"/>
    <w:rsid w:val="4C90110E"/>
    <w:rsid w:val="4E8838F6"/>
    <w:rsid w:val="50196350"/>
    <w:rsid w:val="50271214"/>
    <w:rsid w:val="504537C5"/>
    <w:rsid w:val="5086695A"/>
    <w:rsid w:val="51321D1B"/>
    <w:rsid w:val="516C13EC"/>
    <w:rsid w:val="51932C19"/>
    <w:rsid w:val="51A92371"/>
    <w:rsid w:val="51EE1B4A"/>
    <w:rsid w:val="52483D98"/>
    <w:rsid w:val="52B82334"/>
    <w:rsid w:val="52DB3CED"/>
    <w:rsid w:val="5370061E"/>
    <w:rsid w:val="540C7941"/>
    <w:rsid w:val="5431450A"/>
    <w:rsid w:val="546B660E"/>
    <w:rsid w:val="54A62FBD"/>
    <w:rsid w:val="54B779F3"/>
    <w:rsid w:val="54D5007D"/>
    <w:rsid w:val="55356050"/>
    <w:rsid w:val="55D02119"/>
    <w:rsid w:val="55E010EB"/>
    <w:rsid w:val="55F77E72"/>
    <w:rsid w:val="562B334B"/>
    <w:rsid w:val="5636666A"/>
    <w:rsid w:val="56875DE2"/>
    <w:rsid w:val="573D13EC"/>
    <w:rsid w:val="573D4385"/>
    <w:rsid w:val="58BB6A59"/>
    <w:rsid w:val="58C03B25"/>
    <w:rsid w:val="58CA1783"/>
    <w:rsid w:val="59462748"/>
    <w:rsid w:val="595B3ACF"/>
    <w:rsid w:val="59C94342"/>
    <w:rsid w:val="59DB251D"/>
    <w:rsid w:val="5A1A2492"/>
    <w:rsid w:val="5A9D4942"/>
    <w:rsid w:val="5A9F138A"/>
    <w:rsid w:val="5B725699"/>
    <w:rsid w:val="5B7678EF"/>
    <w:rsid w:val="5BA52EF0"/>
    <w:rsid w:val="5BBB4A35"/>
    <w:rsid w:val="5C7F6B43"/>
    <w:rsid w:val="5CB82F45"/>
    <w:rsid w:val="5CE4275F"/>
    <w:rsid w:val="5D511C59"/>
    <w:rsid w:val="5D7303E6"/>
    <w:rsid w:val="5D910FB7"/>
    <w:rsid w:val="5E323929"/>
    <w:rsid w:val="5ED6114C"/>
    <w:rsid w:val="5F604CDD"/>
    <w:rsid w:val="5F6A58DF"/>
    <w:rsid w:val="5F782C5F"/>
    <w:rsid w:val="5F8C5A4A"/>
    <w:rsid w:val="614C5FAD"/>
    <w:rsid w:val="61675A05"/>
    <w:rsid w:val="61853F15"/>
    <w:rsid w:val="627B1777"/>
    <w:rsid w:val="6374583B"/>
    <w:rsid w:val="63AB6057"/>
    <w:rsid w:val="63EE401A"/>
    <w:rsid w:val="64CE03EA"/>
    <w:rsid w:val="650F34B8"/>
    <w:rsid w:val="65654A26"/>
    <w:rsid w:val="659A3CC4"/>
    <w:rsid w:val="664A1B46"/>
    <w:rsid w:val="6656320D"/>
    <w:rsid w:val="670F25C1"/>
    <w:rsid w:val="67140F50"/>
    <w:rsid w:val="676B2CB8"/>
    <w:rsid w:val="677D43F4"/>
    <w:rsid w:val="677E31C9"/>
    <w:rsid w:val="67D20ED5"/>
    <w:rsid w:val="67E608A5"/>
    <w:rsid w:val="6804072B"/>
    <w:rsid w:val="6844166B"/>
    <w:rsid w:val="68BB210F"/>
    <w:rsid w:val="691C2321"/>
    <w:rsid w:val="6A001C05"/>
    <w:rsid w:val="6A030D2B"/>
    <w:rsid w:val="6A0A1BB7"/>
    <w:rsid w:val="6A1B6E2F"/>
    <w:rsid w:val="6A445C5B"/>
    <w:rsid w:val="6A74675B"/>
    <w:rsid w:val="6AA27385"/>
    <w:rsid w:val="6AD31DDD"/>
    <w:rsid w:val="6AE71B19"/>
    <w:rsid w:val="6B7F054C"/>
    <w:rsid w:val="6BB20334"/>
    <w:rsid w:val="6CC633E2"/>
    <w:rsid w:val="6CFF2452"/>
    <w:rsid w:val="6D1C00E2"/>
    <w:rsid w:val="6DC13783"/>
    <w:rsid w:val="6DDE0526"/>
    <w:rsid w:val="6E1053D4"/>
    <w:rsid w:val="6E7A5125"/>
    <w:rsid w:val="6E850C28"/>
    <w:rsid w:val="6F3A30AC"/>
    <w:rsid w:val="6F6D0849"/>
    <w:rsid w:val="6F7258B2"/>
    <w:rsid w:val="6FE801F9"/>
    <w:rsid w:val="700614C5"/>
    <w:rsid w:val="703E1717"/>
    <w:rsid w:val="70D9203B"/>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556E6"/>
    <w:rsid w:val="750F2C5B"/>
    <w:rsid w:val="75C83D1C"/>
    <w:rsid w:val="75D408C8"/>
    <w:rsid w:val="761C5BBB"/>
    <w:rsid w:val="76EB27BB"/>
    <w:rsid w:val="771F4D69"/>
    <w:rsid w:val="77404E11"/>
    <w:rsid w:val="776670E2"/>
    <w:rsid w:val="7793611A"/>
    <w:rsid w:val="77AA059A"/>
    <w:rsid w:val="77B66CA2"/>
    <w:rsid w:val="77C425FC"/>
    <w:rsid w:val="78597F13"/>
    <w:rsid w:val="786C7ACC"/>
    <w:rsid w:val="78827026"/>
    <w:rsid w:val="78C74701"/>
    <w:rsid w:val="795245AE"/>
    <w:rsid w:val="7998446F"/>
    <w:rsid w:val="799967F2"/>
    <w:rsid w:val="79DC6E46"/>
    <w:rsid w:val="79E33856"/>
    <w:rsid w:val="79E7237A"/>
    <w:rsid w:val="79EB0BC5"/>
    <w:rsid w:val="79FB5740"/>
    <w:rsid w:val="7A191B95"/>
    <w:rsid w:val="7A69004E"/>
    <w:rsid w:val="7AD106A9"/>
    <w:rsid w:val="7B661B84"/>
    <w:rsid w:val="7C0659A1"/>
    <w:rsid w:val="7C3C2CF8"/>
    <w:rsid w:val="7D58481B"/>
    <w:rsid w:val="7D7252B7"/>
    <w:rsid w:val="7D8C07F3"/>
    <w:rsid w:val="7EBC06D0"/>
    <w:rsid w:val="7F104E6B"/>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2771</Words>
  <Characters>2866</Characters>
  <Lines>0</Lines>
  <Paragraphs>0</Paragraphs>
  <TotalTime>1</TotalTime>
  <ScaleCrop>false</ScaleCrop>
  <LinksUpToDate>false</LinksUpToDate>
  <CharactersWithSpaces>3102</CharactersWithSpaces>
  <Application>WPS Office_11.1.0.12978_F1E327BC-269C-435d-A152-05C5408002CA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2022-12-03T02:27:03Z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2052-11.1.0.12978</vt:lpwstr>
  </property>
  <property fmtid="{D5CDD505-2E9C-101B-9397-08002B2CF9AE}" pid="3" name="KSORubyTemplateID" linkTarget="0">
    <vt:lpwstr>6</vt:lpwstr>
  </property>
  <property fmtid="{D5CDD505-2E9C-101B-9397-08002B2CF9AE}" pid="4" name="ICV">
    <vt:lpwstr>9E299B89A7D040BCAE004DEAE2C081AB</vt:lpwstr>
  </property>
</Properties>
</file>