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b/>
          <w:sz w:val="24"/>
        </w:rPr>
      </w:pPr>
      <w:r>
        <w:rPr>
          <w:rFonts w:hint="eastAsia" w:ascii="宋体" w:hAnsi="宋体" w:cs="宋体"/>
          <w:b/>
          <w:bCs/>
          <w:sz w:val="28"/>
          <w:szCs w:val="28"/>
          <w:u w:val="single"/>
        </w:rPr>
        <w:t>金融学</w:t>
      </w:r>
      <w:r>
        <w:rPr>
          <w:rFonts w:hint="eastAsia" w:ascii="宋体" w:hAnsi="宋体" w:cs="宋体"/>
          <w:b/>
          <w:bCs/>
          <w:sz w:val="28"/>
          <w:szCs w:val="28"/>
          <w:u w:val="single"/>
          <w:lang w:eastAsia="zh-CN"/>
        </w:rPr>
        <w:t>复习资料</w:t>
      </w:r>
      <w:bookmarkStart w:id="3" w:name="_GoBack"/>
      <w:bookmarkEnd w:id="3"/>
    </w:p>
    <w:p>
      <w:pPr>
        <w:rPr>
          <w:rFonts w:ascii="宋体"/>
          <w:b/>
          <w:sz w:val="28"/>
        </w:rPr>
      </w:pPr>
      <w:r>
        <w:rPr>
          <w:rFonts w:hint="eastAsia" w:ascii="宋体" w:hAnsi="宋体"/>
          <w:b/>
          <w:sz w:val="28"/>
        </w:rPr>
        <w:t>一、名词解释</w:t>
      </w:r>
    </w:p>
    <w:p>
      <w:pPr>
        <w:spacing w:line="400" w:lineRule="exact"/>
        <w:rPr>
          <w:sz w:val="24"/>
        </w:rPr>
      </w:pPr>
      <w:r>
        <w:rPr>
          <w:sz w:val="24"/>
        </w:rPr>
        <w:t>1．</w:t>
      </w:r>
      <w:r>
        <w:rPr>
          <w:rFonts w:hint="eastAsia"/>
          <w:sz w:val="24"/>
        </w:rPr>
        <w:t>格雷钦法则</w:t>
      </w:r>
    </w:p>
    <w:p>
      <w:pPr>
        <w:spacing w:line="400" w:lineRule="exact"/>
        <w:rPr>
          <w:sz w:val="24"/>
        </w:rPr>
      </w:pPr>
      <w:r>
        <w:rPr>
          <w:rFonts w:hint="eastAsia" w:ascii="宋体" w:hAnsi="宋体"/>
          <w:szCs w:val="21"/>
        </w:rPr>
        <w:t>市价比法定价格低的金属货币被称为劣币，市价比法定价格高的金属货币被称为良币，这种现象就是</w:t>
      </w:r>
      <w:r>
        <w:rPr>
          <w:rFonts w:hint="eastAsia" w:ascii="宋体" w:hAnsi="宋体"/>
          <w:bCs/>
          <w:szCs w:val="21"/>
        </w:rPr>
        <w:t>“劣币驱逐良币现象”，由于它是由</w:t>
      </w:r>
      <w:r>
        <w:rPr>
          <w:rFonts w:hint="eastAsia"/>
          <w:kern w:val="0"/>
        </w:rPr>
        <w:t>托马斯</w:t>
      </w:r>
      <w:r>
        <w:rPr>
          <w:kern w:val="0"/>
        </w:rPr>
        <w:t>·</w:t>
      </w:r>
      <w:r>
        <w:rPr>
          <w:rFonts w:hint="eastAsia"/>
          <w:kern w:val="0"/>
        </w:rPr>
        <w:t>格雷欣爵士</w:t>
      </w:r>
      <w:r>
        <w:rPr>
          <w:kern w:val="0"/>
        </w:rPr>
        <w:t>(</w:t>
      </w:r>
      <w:r>
        <w:rPr>
          <w:rFonts w:hint="eastAsia" w:ascii="宋体" w:hAnsi="宋体" w:cs="宋体"/>
          <w:kern w:val="0"/>
          <w:szCs w:val="21"/>
        </w:rPr>
        <w:t xml:space="preserve">Thomas </w:t>
      </w:r>
      <w:r>
        <w:rPr>
          <w:kern w:val="0"/>
        </w:rPr>
        <w:t>·</w:t>
      </w:r>
      <w:r>
        <w:rPr>
          <w:rFonts w:hint="eastAsia" w:ascii="宋体" w:hAnsi="宋体" w:cs="宋体"/>
          <w:kern w:val="0"/>
          <w:szCs w:val="21"/>
        </w:rPr>
        <w:t xml:space="preserve"> Gresham</w:t>
      </w:r>
      <w:r>
        <w:rPr>
          <w:rFonts w:hint="eastAsia"/>
          <w:kern w:val="0"/>
        </w:rPr>
        <w:t>，英国伊莉莎白女王一世的顾问</w:t>
      </w:r>
      <w:r>
        <w:rPr>
          <w:kern w:val="0"/>
        </w:rPr>
        <w:t>)</w:t>
      </w:r>
      <w:r>
        <w:rPr>
          <w:rFonts w:hint="eastAsia"/>
          <w:kern w:val="0"/>
        </w:rPr>
        <w:t>首次提出，所以又称之为“</w:t>
      </w:r>
      <w:r>
        <w:rPr>
          <w:rFonts w:hint="eastAsia" w:ascii="宋体" w:hAnsi="宋体"/>
          <w:bCs/>
          <w:szCs w:val="21"/>
        </w:rPr>
        <w:t>格雷欣法则</w:t>
      </w:r>
      <w:r>
        <w:rPr>
          <w:rFonts w:hint="eastAsia" w:ascii="宋体" w:hAnsi="宋体" w:cs="宋体"/>
          <w:kern w:val="0"/>
          <w:szCs w:val="21"/>
        </w:rPr>
        <w:t>（Gresham’s Law）”。</w:t>
      </w:r>
    </w:p>
    <w:p>
      <w:pPr>
        <w:rPr>
          <w:sz w:val="24"/>
        </w:rPr>
      </w:pPr>
      <w:r>
        <w:rPr>
          <w:sz w:val="24"/>
        </w:rPr>
        <w:t>2．</w:t>
      </w:r>
      <w:r>
        <w:rPr>
          <w:rFonts w:hint="eastAsia"/>
          <w:sz w:val="24"/>
        </w:rPr>
        <w:t>看涨期权</w:t>
      </w:r>
    </w:p>
    <w:p>
      <w:pPr>
        <w:spacing w:line="400" w:lineRule="exact"/>
        <w:rPr>
          <w:bCs/>
        </w:rPr>
      </w:pPr>
      <w:r>
        <w:rPr>
          <w:rFonts w:hint="eastAsia"/>
          <w:szCs w:val="21"/>
        </w:rPr>
        <w:t>看涨期权（</w:t>
      </w:r>
      <w:r>
        <w:rPr>
          <w:szCs w:val="21"/>
        </w:rPr>
        <w:t>call option</w:t>
      </w:r>
      <w:r>
        <w:rPr>
          <w:rFonts w:hint="eastAsia"/>
          <w:szCs w:val="21"/>
        </w:rPr>
        <w:t>），又称买入期权，是指期权的持有者拥有在规定时间内以协议价格向期权出售者买入一定量商品、证券等的权利。以股票为例，只有当股票价格上升，并超过协议价格的时候，期权合约的持有者才有利可图，所以叫看涨期权。</w:t>
      </w:r>
    </w:p>
    <w:p>
      <w:pPr>
        <w:spacing w:line="400" w:lineRule="exact"/>
        <w:rPr>
          <w:sz w:val="24"/>
        </w:rPr>
      </w:pPr>
      <w:r>
        <w:rPr>
          <w:sz w:val="24"/>
        </w:rPr>
        <w:t>3．</w:t>
      </w:r>
      <w:r>
        <w:rPr>
          <w:rFonts w:hint="eastAsia"/>
          <w:sz w:val="24"/>
        </w:rPr>
        <w:t>同业拆借市场</w:t>
      </w:r>
    </w:p>
    <w:p>
      <w:pPr>
        <w:ind w:firstLine="420" w:firstLineChars="200"/>
        <w:rPr>
          <w:bCs/>
        </w:rPr>
      </w:pPr>
      <w:r>
        <w:rPr>
          <w:rFonts w:hint="eastAsia"/>
          <w:szCs w:val="21"/>
        </w:rPr>
        <w:t>也可以称为同业拆放市场，是指金融机构之间以货币借贷方式进行短期资金融通活动的市场。同业拆借的资金主要用于弥补短期资金的不足、票据清算的差额以及解决临时性的资金短缺需要。同业拆借市场是一个交易量大，能敏感地反映资金供求关系和货币政策意图，影响货币市场利率的市场。因此，它是货币市场中非常重要的子市场之一。</w:t>
      </w:r>
    </w:p>
    <w:p>
      <w:pPr>
        <w:spacing w:line="360" w:lineRule="auto"/>
        <w:rPr>
          <w:rFonts w:ascii="宋体"/>
          <w:b/>
          <w:sz w:val="28"/>
        </w:rPr>
      </w:pPr>
      <w:r>
        <w:rPr>
          <w:rFonts w:hint="eastAsia" w:ascii="宋体" w:hAnsi="宋体"/>
          <w:b/>
          <w:sz w:val="28"/>
        </w:rPr>
        <w:t>二、简答题</w:t>
      </w:r>
    </w:p>
    <w:p>
      <w:pPr>
        <w:spacing w:line="360" w:lineRule="auto"/>
        <w:rPr>
          <w:rFonts w:ascii="宋体" w:hAnsi="宋体"/>
          <w:sz w:val="24"/>
        </w:rPr>
      </w:pPr>
      <w:r>
        <w:rPr>
          <w:sz w:val="24"/>
        </w:rPr>
        <w:t>1</w:t>
      </w:r>
      <w:r>
        <w:rPr>
          <w:rFonts w:hint="eastAsia"/>
          <w:sz w:val="24"/>
        </w:rPr>
        <w:t>．简述</w:t>
      </w:r>
      <w:r>
        <w:rPr>
          <w:rFonts w:hint="eastAsia" w:hAnsi="宋体"/>
          <w:sz w:val="24"/>
        </w:rPr>
        <w:t>信用工具的基本特征以及各特征间的关系。</w:t>
      </w:r>
    </w:p>
    <w:p>
      <w:pPr>
        <w:spacing w:line="360" w:lineRule="auto"/>
        <w:rPr>
          <w:rFonts w:ascii="宋体" w:hAnsi="宋体"/>
          <w:sz w:val="24"/>
        </w:rPr>
      </w:pPr>
      <w:r>
        <w:rPr>
          <w:rFonts w:hint="eastAsia" w:hAnsi="宋体"/>
          <w:sz w:val="24"/>
        </w:rPr>
        <w:t>2．</w:t>
      </w:r>
      <w:r>
        <w:rPr>
          <w:rFonts w:hint="eastAsia" w:ascii="宋体" w:hAnsi="宋体"/>
          <w:sz w:val="24"/>
        </w:rPr>
        <w:t>简述货币的职能。</w:t>
      </w:r>
    </w:p>
    <w:p>
      <w:pPr>
        <w:spacing w:line="400" w:lineRule="exact"/>
        <w:rPr>
          <w:rFonts w:ascii="宋体" w:hAnsi="宋体"/>
          <w:sz w:val="24"/>
        </w:rPr>
      </w:pPr>
      <w:r>
        <w:rPr>
          <w:rFonts w:hint="eastAsia"/>
          <w:sz w:val="24"/>
        </w:rPr>
        <w:t>3．</w:t>
      </w:r>
      <w:r>
        <w:rPr>
          <w:rFonts w:hint="eastAsia" w:ascii="宋体" w:hAnsi="宋体"/>
          <w:sz w:val="24"/>
        </w:rPr>
        <w:t>什么是市场利率？什么是基准利率？</w:t>
      </w:r>
    </w:p>
    <w:p>
      <w:pPr>
        <w:spacing w:line="400" w:lineRule="exact"/>
        <w:ind w:firstLine="420"/>
        <w:rPr>
          <w:rFonts w:ascii="宋体" w:hAnsi="宋体"/>
        </w:rPr>
      </w:pPr>
      <w:r>
        <w:rPr>
          <w:rFonts w:hint="eastAsia" w:ascii="宋体" w:hAnsi="宋体"/>
        </w:rPr>
        <w:t>市场利率是指由货币资金的供求关系决定的利率，货币供大于求，市场利率下跌，货币供小于求，市场利率上升。</w:t>
      </w:r>
    </w:p>
    <w:p>
      <w:pPr>
        <w:ind w:firstLine="420" w:firstLineChars="200"/>
        <w:rPr>
          <w:rFonts w:ascii="宋体" w:hAnsi="宋体"/>
        </w:rPr>
      </w:pPr>
      <w:r>
        <w:rPr>
          <w:rFonts w:hint="eastAsia" w:ascii="宋体" w:hAnsi="宋体"/>
        </w:rPr>
        <w:t>基准利率是指在多种利率存在的条件下起决定作用的利率。起决定作用是指：随着这种利率的变动，其他利率也会跟着相应变动，因而只要了解这种关键性利率的变化趋势，就能了解整个利率体系的变化趋势。我国中央银行对商业银行和其他金融机构的存、贷款利率叫基准利率；在西方国家，传统上曾以中央银行的再贷款、再贴现利率为基准利率的代表，现在已有变化，各国不尽相同。</w:t>
      </w:r>
    </w:p>
    <w:p>
      <w:pPr>
        <w:spacing w:line="400" w:lineRule="exact"/>
        <w:rPr>
          <w:sz w:val="24"/>
        </w:rPr>
      </w:pPr>
      <w:r>
        <w:rPr>
          <w:rFonts w:hint="eastAsia"/>
          <w:sz w:val="24"/>
        </w:rPr>
        <w:t>4．简述金融衍生工具的特点及其分类。</w:t>
      </w:r>
    </w:p>
    <w:p>
      <w:pPr>
        <w:spacing w:line="400" w:lineRule="exact"/>
        <w:ind w:firstLine="420"/>
        <w:rPr>
          <w:rFonts w:ascii="宋体" w:hAnsi="宋体"/>
        </w:rPr>
      </w:pPr>
      <w:r>
        <w:rPr>
          <w:rFonts w:hint="eastAsia" w:ascii="宋体" w:hAnsi="宋体"/>
        </w:rPr>
        <w:t>（1）跨期性。</w:t>
      </w:r>
    </w:p>
    <w:p>
      <w:pPr>
        <w:spacing w:line="400" w:lineRule="exact"/>
        <w:ind w:firstLine="420"/>
        <w:rPr>
          <w:rFonts w:ascii="宋体" w:hAnsi="宋体"/>
        </w:rPr>
      </w:pPr>
      <w:r>
        <w:rPr>
          <w:rFonts w:hint="eastAsia" w:ascii="宋体" w:hAnsi="宋体"/>
        </w:rPr>
        <w:t>金融衍生工具是交易双方通过对利率、汇率、股价等因素变动趋势的预测，约定在未来某一时间按照一定条件进行交易或者选择是否交易的合约，跨期交易特点十分突出。</w:t>
      </w:r>
    </w:p>
    <w:p>
      <w:pPr>
        <w:spacing w:line="400" w:lineRule="exact"/>
        <w:ind w:firstLine="420"/>
        <w:rPr>
          <w:rFonts w:ascii="宋体" w:hAnsi="宋体"/>
        </w:rPr>
      </w:pPr>
      <w:r>
        <w:rPr>
          <w:rFonts w:hint="eastAsia" w:ascii="宋体" w:hAnsi="宋体"/>
        </w:rPr>
        <w:t>（2）杠杆性。</w:t>
      </w:r>
    </w:p>
    <w:p>
      <w:pPr>
        <w:spacing w:line="400" w:lineRule="exact"/>
        <w:ind w:firstLine="420"/>
        <w:rPr>
          <w:rFonts w:ascii="宋体" w:hAnsi="宋体"/>
        </w:rPr>
      </w:pPr>
      <w:r>
        <w:rPr>
          <w:rFonts w:hint="eastAsia" w:ascii="宋体" w:hAnsi="宋体"/>
        </w:rPr>
        <w:t>金融衍生工具交易一般只需要支付少量的保证金或权利金就可签订远期大额合约或互换不同的金融工具。</w:t>
      </w:r>
    </w:p>
    <w:p>
      <w:pPr>
        <w:spacing w:line="400" w:lineRule="exact"/>
        <w:ind w:firstLine="420"/>
        <w:rPr>
          <w:rFonts w:ascii="宋体" w:hAnsi="宋体"/>
        </w:rPr>
      </w:pPr>
      <w:r>
        <w:rPr>
          <w:rFonts w:hint="eastAsia" w:ascii="宋体" w:hAnsi="宋体"/>
        </w:rPr>
        <w:t>（3）联动性。</w:t>
      </w:r>
    </w:p>
    <w:p>
      <w:pPr>
        <w:spacing w:line="400" w:lineRule="exact"/>
        <w:ind w:firstLine="420"/>
        <w:rPr>
          <w:rFonts w:ascii="宋体" w:hAnsi="宋体"/>
        </w:rPr>
      </w:pPr>
      <w:r>
        <w:rPr>
          <w:rFonts w:hint="eastAsia" w:ascii="宋体" w:hAnsi="宋体"/>
        </w:rPr>
        <w:t>金融衍生工具的价值与基础产品或基础变量紧密联系、规则变动。通常，金融衍生工具与基础变量相联系的支付特征由衍生工具合约规定，其联动关系既可以是简单的线性关系，也可以表达为非线性函数或者</w:t>
      </w:r>
      <w:r>
        <w:fldChar w:fldCharType="begin"/>
      </w:r>
      <w:r>
        <w:instrText xml:space="preserve"> HYPERLINK "https://www.baidu.com/s?wd=%E5%88%86%E6%AE%B5%E5%87%BD%E6%95%B0&amp;tn=SE_PcZhidaonwhc_ngpagmjz&amp;rsv_dl=gh_pc_zhidao" \t "_blank" </w:instrText>
      </w:r>
      <w:r>
        <w:fldChar w:fldCharType="separate"/>
      </w:r>
      <w:r>
        <w:rPr>
          <w:rFonts w:hint="eastAsia" w:ascii="宋体" w:hAnsi="宋体"/>
        </w:rPr>
        <w:t>分段函数</w:t>
      </w:r>
      <w:r>
        <w:rPr>
          <w:rFonts w:hint="eastAsia" w:ascii="宋体" w:hAnsi="宋体"/>
        </w:rPr>
        <w:fldChar w:fldCharType="end"/>
      </w:r>
      <w:r>
        <w:rPr>
          <w:rFonts w:hint="eastAsia" w:ascii="宋体" w:hAnsi="宋体"/>
        </w:rPr>
        <w:t>。</w:t>
      </w:r>
    </w:p>
    <w:p>
      <w:pPr>
        <w:spacing w:line="400" w:lineRule="exact"/>
        <w:ind w:firstLine="420"/>
        <w:rPr>
          <w:rFonts w:ascii="宋体" w:hAnsi="宋体"/>
        </w:rPr>
      </w:pPr>
      <w:r>
        <w:rPr>
          <w:rFonts w:hint="eastAsia" w:ascii="宋体" w:hAnsi="宋体"/>
        </w:rPr>
        <w:t>（4）高风险性。</w:t>
      </w:r>
    </w:p>
    <w:p>
      <w:pPr>
        <w:spacing w:line="400" w:lineRule="exact"/>
        <w:ind w:firstLine="420"/>
        <w:rPr>
          <w:rFonts w:ascii="宋体" w:hAnsi="宋体"/>
        </w:rPr>
      </w:pPr>
      <w:r>
        <w:rPr>
          <w:rFonts w:hint="eastAsia" w:ascii="宋体" w:hAnsi="宋体"/>
        </w:rPr>
        <w:t>金融衍生工具的交易后果取决于交易者对基础工具（变量）未来价格（数值）的预测和判断的准确程度。基础工具价格的变幻莫测决定了金融衍生工具交易盈亏的不稳定性。</w:t>
      </w:r>
    </w:p>
    <w:p>
      <w:pPr>
        <w:spacing w:line="400" w:lineRule="exact"/>
        <w:rPr>
          <w:rFonts w:ascii="宋体" w:hAnsi="宋体"/>
          <w:sz w:val="24"/>
        </w:rPr>
      </w:pPr>
    </w:p>
    <w:p>
      <w:pPr>
        <w:spacing w:line="400" w:lineRule="exact"/>
        <w:rPr>
          <w:sz w:val="24"/>
        </w:rPr>
      </w:pPr>
      <w:r>
        <w:rPr>
          <w:rFonts w:hint="eastAsia"/>
          <w:sz w:val="24"/>
        </w:rPr>
        <w:tab/>
      </w:r>
      <w:r>
        <w:rPr>
          <w:rFonts w:hint="eastAsia"/>
          <w:sz w:val="24"/>
        </w:rPr>
        <w:t>金融衍生工具主要包括金融远期、金融期货、金融期权和互换产品。</w:t>
      </w:r>
    </w:p>
    <w:p>
      <w:pPr>
        <w:spacing w:line="400" w:lineRule="exact"/>
        <w:rPr>
          <w:sz w:val="24"/>
        </w:rPr>
      </w:pPr>
      <w:bookmarkStart w:id="0" w:name="OLE_LINK1"/>
    </w:p>
    <w:p>
      <w:pPr>
        <w:rPr>
          <w:rFonts w:ascii="宋体" w:cs="宋体"/>
          <w:bCs/>
          <w:sz w:val="28"/>
          <w:szCs w:val="28"/>
        </w:rPr>
      </w:pPr>
      <w:r>
        <w:rPr>
          <w:rFonts w:hint="eastAsia"/>
          <w:sz w:val="24"/>
        </w:rPr>
        <w:t>5．简述金融市场的功能。</w:t>
      </w:r>
      <w:r>
        <w:rPr>
          <w:rFonts w:ascii="宋体" w:cs="宋体"/>
          <w:bCs/>
          <w:sz w:val="28"/>
          <w:szCs w:val="28"/>
        </w:rPr>
        <w:t xml:space="preserve"> </w:t>
      </w:r>
    </w:p>
    <w:p>
      <w:pPr>
        <w:ind w:firstLine="420" w:firstLineChars="200"/>
        <w:rPr>
          <w:szCs w:val="21"/>
        </w:rPr>
      </w:pPr>
      <w:r>
        <w:rPr>
          <w:szCs w:val="21"/>
        </w:rPr>
        <w:t>1</w:t>
      </w:r>
      <w:r>
        <w:rPr>
          <w:rFonts w:hint="eastAsia"/>
          <w:szCs w:val="21"/>
        </w:rPr>
        <w:t>．金融市场能够迅速有效地引导资金合理流动，提高资金配置效率</w:t>
      </w:r>
    </w:p>
    <w:p>
      <w:pPr>
        <w:ind w:firstLine="435"/>
        <w:rPr>
          <w:szCs w:val="21"/>
        </w:rPr>
      </w:pPr>
      <w:r>
        <w:rPr>
          <w:szCs w:val="21"/>
        </w:rPr>
        <w:t>2</w:t>
      </w:r>
      <w:r>
        <w:rPr>
          <w:rFonts w:hint="eastAsia"/>
          <w:szCs w:val="21"/>
        </w:rPr>
        <w:t>．金融市场为金融管理部门进行金融间接调控提供了条件</w:t>
      </w:r>
    </w:p>
    <w:p>
      <w:pPr>
        <w:ind w:firstLine="435"/>
        <w:rPr>
          <w:szCs w:val="21"/>
        </w:rPr>
      </w:pPr>
      <w:r>
        <w:rPr>
          <w:szCs w:val="21"/>
        </w:rPr>
        <w:t>3</w:t>
      </w:r>
      <w:r>
        <w:rPr>
          <w:rFonts w:hint="eastAsia"/>
          <w:szCs w:val="21"/>
        </w:rPr>
        <w:t>．金融市场可以降低交易的搜寻成本和信息成本</w:t>
      </w:r>
    </w:p>
    <w:p>
      <w:pPr>
        <w:ind w:firstLine="435"/>
        <w:rPr>
          <w:szCs w:val="21"/>
        </w:rPr>
      </w:pPr>
      <w:r>
        <w:rPr>
          <w:szCs w:val="21"/>
        </w:rPr>
        <w:t>4</w:t>
      </w:r>
      <w:r>
        <w:rPr>
          <w:rFonts w:hint="eastAsia"/>
          <w:szCs w:val="21"/>
        </w:rPr>
        <w:t>．金融市场具有确定价格的功能</w:t>
      </w:r>
    </w:p>
    <w:p>
      <w:pPr>
        <w:ind w:firstLine="420" w:firstLineChars="200"/>
        <w:rPr>
          <w:szCs w:val="21"/>
        </w:rPr>
      </w:pPr>
      <w:r>
        <w:rPr>
          <w:szCs w:val="21"/>
        </w:rPr>
        <w:t>5</w:t>
      </w:r>
      <w:r>
        <w:rPr>
          <w:rFonts w:hint="eastAsia"/>
          <w:szCs w:val="21"/>
        </w:rPr>
        <w:t>．金融市场帮助实现风险分散和风险转移</w:t>
      </w:r>
    </w:p>
    <w:p>
      <w:pPr>
        <w:ind w:firstLine="435"/>
        <w:rPr>
          <w:szCs w:val="21"/>
        </w:rPr>
      </w:pPr>
      <w:r>
        <w:rPr>
          <w:szCs w:val="21"/>
        </w:rPr>
        <w:t>6</w:t>
      </w:r>
      <w:r>
        <w:rPr>
          <w:rFonts w:hint="eastAsia"/>
          <w:szCs w:val="21"/>
        </w:rPr>
        <w:t>．金融市场具有提供流动性的功能</w:t>
      </w:r>
    </w:p>
    <w:bookmarkEnd w:id="0"/>
    <w:p>
      <w:pPr>
        <w:rPr>
          <w:rFonts w:ascii="宋体" w:cs="宋体"/>
          <w:b/>
          <w:bCs/>
          <w:sz w:val="28"/>
          <w:szCs w:val="28"/>
        </w:rPr>
      </w:pPr>
      <w:r>
        <w:rPr>
          <w:rFonts w:hint="eastAsia" w:ascii="宋体" w:hAnsi="宋体" w:cs="宋体"/>
          <w:b/>
          <w:bCs/>
          <w:sz w:val="28"/>
          <w:szCs w:val="28"/>
        </w:rPr>
        <w:t>三、论述题</w:t>
      </w:r>
    </w:p>
    <w:p>
      <w:pPr>
        <w:spacing w:line="400" w:lineRule="exact"/>
        <w:rPr>
          <w:b/>
          <w:bCs/>
          <w:sz w:val="24"/>
        </w:rPr>
      </w:pPr>
      <w:r>
        <w:rPr>
          <w:rFonts w:ascii="宋体" w:hAnsi="宋体" w:cs="宋体"/>
          <w:b/>
          <w:bCs/>
          <w:sz w:val="28"/>
          <w:szCs w:val="28"/>
        </w:rPr>
        <w:t>1</w:t>
      </w:r>
      <w:r>
        <w:rPr>
          <w:rFonts w:hint="eastAsia" w:ascii="宋体" w:hAnsi="宋体" w:cs="宋体"/>
          <w:b/>
          <w:bCs/>
          <w:sz w:val="28"/>
          <w:szCs w:val="28"/>
        </w:rPr>
        <w:t>、</w:t>
      </w:r>
      <w:r>
        <w:rPr>
          <w:rFonts w:hint="eastAsia" w:hAnsi="宋体"/>
          <w:b/>
          <w:bCs/>
          <w:sz w:val="24"/>
        </w:rPr>
        <w:t>论述我国现行金融机构体系。</w:t>
      </w:r>
    </w:p>
    <w:p>
      <w:pPr>
        <w:pStyle w:val="2"/>
        <w:rPr>
          <w:b/>
          <w:bCs/>
          <w:color w:val="000000"/>
          <w:szCs w:val="21"/>
        </w:rPr>
      </w:pPr>
      <w:r>
        <w:rPr>
          <w:rFonts w:hint="eastAsia"/>
          <w:color w:val="000000"/>
          <w:szCs w:val="21"/>
        </w:rPr>
        <w:t>我国目前已基本形成了以中国人民银行为核心、中国银行业监督管理委员会、中国证券业监督管理委员会和中国保险业监督管理委员会作为最高金融管理机构，商业银行为主体、多种金融机构并存，分工协作的金融机构体系。金融机构的多样化是市场经济发展和经济结构多元化的客观要求。社会融资渠道和国民收入分配格局的变化，经济主体的多样化，金融市场的发展，需要建立各类金融机构为不同层次经济主体的经济活动发展服务。</w:t>
      </w:r>
    </w:p>
    <w:p>
      <w:pPr>
        <w:ind w:firstLine="420" w:firstLineChars="200"/>
        <w:rPr>
          <w:rFonts w:ascii="宋体" w:hAnsi="宋体"/>
          <w:color w:val="000000"/>
          <w:szCs w:val="21"/>
        </w:rPr>
      </w:pPr>
      <w:r>
        <w:rPr>
          <w:rFonts w:hint="eastAsia" w:ascii="宋体" w:hAnsi="宋体"/>
          <w:color w:val="000000"/>
          <w:szCs w:val="21"/>
        </w:rPr>
        <w:t>我国金融机构按其地位和功能可分为两大类。一类是管理性金融机构；一类是经营性金融机构。其中经营性金融机构又可以分为：银行类金融机构和非银行类金融机构。</w:t>
      </w:r>
    </w:p>
    <w:p>
      <w:pPr>
        <w:ind w:firstLine="420" w:firstLineChars="200"/>
        <w:rPr>
          <w:rFonts w:ascii="宋体" w:hAnsi="宋体"/>
          <w:b w:val="0"/>
          <w:bCs w:val="0"/>
          <w:color w:val="000000"/>
          <w:szCs w:val="21"/>
        </w:rPr>
      </w:pPr>
      <w:r>
        <w:rPr>
          <w:rFonts w:hint="eastAsia" w:ascii="宋体" w:hAnsi="宋体"/>
          <w:b w:val="0"/>
          <w:bCs w:val="0"/>
          <w:color w:val="000000"/>
          <w:szCs w:val="21"/>
        </w:rPr>
        <w:t>一、管理性金融机构</w:t>
      </w:r>
    </w:p>
    <w:p>
      <w:pPr>
        <w:ind w:firstLine="420" w:firstLineChars="200"/>
        <w:rPr>
          <w:rFonts w:ascii="宋体" w:hAnsi="宋体"/>
          <w:b w:val="0"/>
          <w:bCs w:val="0"/>
          <w:color w:val="000000"/>
          <w:szCs w:val="21"/>
        </w:rPr>
      </w:pPr>
      <w:r>
        <w:rPr>
          <w:rFonts w:hint="eastAsia" w:ascii="宋体" w:hAnsi="宋体"/>
          <w:b w:val="0"/>
          <w:bCs w:val="0"/>
          <w:color w:val="000000"/>
          <w:szCs w:val="21"/>
        </w:rPr>
        <w:t>（一）中国人民银行</w:t>
      </w:r>
    </w:p>
    <w:p>
      <w:pPr>
        <w:ind w:firstLine="420"/>
        <w:rPr>
          <w:rFonts w:ascii="宋体" w:hAnsi="宋体"/>
          <w:b w:val="0"/>
          <w:bCs w:val="0"/>
          <w:color w:val="000000"/>
          <w:szCs w:val="21"/>
        </w:rPr>
      </w:pPr>
      <w:r>
        <w:rPr>
          <w:rFonts w:hint="eastAsia" w:ascii="宋体" w:hAnsi="宋体"/>
          <w:b w:val="0"/>
          <w:bCs w:val="0"/>
          <w:color w:val="000000"/>
          <w:szCs w:val="21"/>
        </w:rPr>
        <w:t>（二）金融监管机构</w:t>
      </w:r>
    </w:p>
    <w:p>
      <w:pPr>
        <w:pStyle w:val="2"/>
        <w:ind w:firstLine="0" w:firstLineChars="0"/>
        <w:rPr>
          <w:b w:val="0"/>
          <w:bCs w:val="0"/>
          <w:color w:val="000000"/>
          <w:szCs w:val="21"/>
        </w:rPr>
      </w:pPr>
      <w:r>
        <w:rPr>
          <w:rFonts w:hint="eastAsia"/>
          <w:b w:val="0"/>
          <w:bCs w:val="0"/>
          <w:szCs w:val="21"/>
        </w:rPr>
        <w:t xml:space="preserve">    二、</w:t>
      </w:r>
      <w:r>
        <w:rPr>
          <w:rFonts w:hint="eastAsia"/>
          <w:b w:val="0"/>
          <w:bCs w:val="0"/>
          <w:color w:val="000000"/>
          <w:szCs w:val="21"/>
        </w:rPr>
        <w:t>银行类金融机构</w:t>
      </w:r>
    </w:p>
    <w:p>
      <w:pPr>
        <w:rPr>
          <w:rFonts w:ascii="宋体" w:hAnsi="宋体"/>
          <w:b w:val="0"/>
          <w:bCs w:val="0"/>
          <w:color w:val="000000"/>
          <w:szCs w:val="21"/>
        </w:rPr>
      </w:pPr>
      <w:r>
        <w:rPr>
          <w:rFonts w:hint="eastAsia" w:ascii="宋体" w:hAnsi="宋体"/>
          <w:b w:val="0"/>
          <w:bCs w:val="0"/>
          <w:color w:val="000000"/>
          <w:szCs w:val="21"/>
        </w:rPr>
        <w:t xml:space="preserve">    （一）商业银行</w:t>
      </w:r>
    </w:p>
    <w:p>
      <w:pPr>
        <w:ind w:firstLine="420" w:firstLineChars="200"/>
        <w:rPr>
          <w:rFonts w:ascii="宋体" w:hAnsi="宋体"/>
          <w:b w:val="0"/>
          <w:bCs w:val="0"/>
          <w:color w:val="000000"/>
          <w:szCs w:val="21"/>
        </w:rPr>
      </w:pPr>
      <w:r>
        <w:rPr>
          <w:rFonts w:hint="eastAsia" w:ascii="宋体" w:hAnsi="宋体"/>
          <w:b w:val="0"/>
          <w:bCs w:val="0"/>
          <w:color w:val="000000"/>
          <w:szCs w:val="21"/>
        </w:rPr>
        <w:t>（二）合作性金融机构</w:t>
      </w:r>
    </w:p>
    <w:p>
      <w:pPr>
        <w:ind w:firstLine="420"/>
        <w:rPr>
          <w:rFonts w:ascii="宋体" w:cs="宋体"/>
          <w:b w:val="0"/>
          <w:bCs w:val="0"/>
          <w:sz w:val="28"/>
          <w:szCs w:val="28"/>
        </w:rPr>
      </w:pPr>
      <w:r>
        <w:rPr>
          <w:rFonts w:hint="eastAsia"/>
          <w:b w:val="0"/>
          <w:bCs w:val="0"/>
          <w:color w:val="000000"/>
          <w:szCs w:val="21"/>
        </w:rPr>
        <w:t>（三）政策性银行</w:t>
      </w:r>
    </w:p>
    <w:p>
      <w:pPr>
        <w:ind w:firstLine="420" w:firstLineChars="200"/>
        <w:rPr>
          <w:rFonts w:ascii="宋体" w:hAnsi="宋体"/>
          <w:b w:val="0"/>
          <w:bCs w:val="0"/>
          <w:color w:val="000000"/>
          <w:szCs w:val="21"/>
        </w:rPr>
      </w:pPr>
      <w:r>
        <w:rPr>
          <w:rFonts w:hint="eastAsia" w:ascii="宋体" w:hAnsi="宋体"/>
          <w:b w:val="0"/>
          <w:bCs w:val="0"/>
          <w:color w:val="000000"/>
          <w:szCs w:val="21"/>
        </w:rPr>
        <w:t>三、非银行金融机构</w:t>
      </w:r>
    </w:p>
    <w:p>
      <w:pPr>
        <w:ind w:firstLine="420" w:firstLineChars="200"/>
        <w:rPr>
          <w:rFonts w:ascii="宋体" w:hAnsi="宋体"/>
          <w:b w:val="0"/>
          <w:bCs w:val="0"/>
          <w:color w:val="000000"/>
          <w:szCs w:val="21"/>
        </w:rPr>
      </w:pPr>
      <w:r>
        <w:rPr>
          <w:rFonts w:hint="eastAsia" w:ascii="宋体" w:hAnsi="宋体"/>
          <w:b w:val="0"/>
          <w:bCs w:val="0"/>
          <w:color w:val="000000"/>
          <w:szCs w:val="21"/>
        </w:rPr>
        <w:t>（一）证券业金融机构</w:t>
      </w:r>
    </w:p>
    <w:p>
      <w:pPr>
        <w:ind w:firstLine="420"/>
        <w:rPr>
          <w:rFonts w:ascii="宋体" w:cs="宋体"/>
          <w:b w:val="0"/>
          <w:bCs w:val="0"/>
          <w:sz w:val="28"/>
          <w:szCs w:val="28"/>
        </w:rPr>
      </w:pPr>
      <w:r>
        <w:rPr>
          <w:rFonts w:hint="eastAsia" w:ascii="宋体" w:hAnsi="宋体"/>
          <w:b w:val="0"/>
          <w:bCs w:val="0"/>
          <w:color w:val="000000"/>
          <w:szCs w:val="21"/>
        </w:rPr>
        <w:t>（二）保险业金融机构</w:t>
      </w:r>
    </w:p>
    <w:p>
      <w:pPr>
        <w:ind w:firstLine="420" w:firstLineChars="200"/>
        <w:rPr>
          <w:rFonts w:ascii="宋体" w:hAnsi="宋体"/>
          <w:b w:val="0"/>
          <w:bCs w:val="0"/>
          <w:color w:val="000000"/>
          <w:szCs w:val="21"/>
        </w:rPr>
      </w:pPr>
      <w:r>
        <w:rPr>
          <w:rFonts w:hint="eastAsia" w:ascii="宋体" w:hAnsi="宋体"/>
          <w:b w:val="0"/>
          <w:bCs w:val="0"/>
          <w:color w:val="000000"/>
          <w:szCs w:val="21"/>
        </w:rPr>
        <w:t>（三）</w:t>
      </w:r>
      <w:r>
        <w:rPr>
          <w:rFonts w:hint="eastAsia"/>
          <w:b w:val="0"/>
          <w:bCs w:val="0"/>
          <w:szCs w:val="21"/>
        </w:rPr>
        <w:t>信托投资金融机构</w:t>
      </w:r>
    </w:p>
    <w:p>
      <w:pPr>
        <w:ind w:firstLine="420" w:firstLineChars="200"/>
        <w:rPr>
          <w:rFonts w:ascii="宋体" w:hAnsi="宋体"/>
          <w:b w:val="0"/>
          <w:bCs w:val="0"/>
          <w:color w:val="000000"/>
          <w:szCs w:val="21"/>
        </w:rPr>
      </w:pPr>
      <w:r>
        <w:rPr>
          <w:rFonts w:hint="eastAsia" w:ascii="宋体" w:hAnsi="宋体"/>
          <w:b w:val="0"/>
          <w:bCs w:val="0"/>
          <w:color w:val="000000"/>
          <w:szCs w:val="21"/>
        </w:rPr>
        <w:t>（四）财务公司</w:t>
      </w:r>
    </w:p>
    <w:p>
      <w:pPr>
        <w:ind w:firstLine="420"/>
        <w:rPr>
          <w:rFonts w:ascii="宋体" w:cs="宋体"/>
          <w:b w:val="0"/>
          <w:bCs w:val="0"/>
          <w:sz w:val="28"/>
          <w:szCs w:val="28"/>
        </w:rPr>
      </w:pPr>
      <w:r>
        <w:rPr>
          <w:rFonts w:hint="eastAsia" w:ascii="宋体" w:hAnsi="宋体"/>
          <w:b w:val="0"/>
          <w:bCs w:val="0"/>
          <w:color w:val="000000"/>
          <w:szCs w:val="21"/>
        </w:rPr>
        <w:t>（五）金融租赁公司</w:t>
      </w:r>
    </w:p>
    <w:p>
      <w:pPr>
        <w:ind w:firstLine="420" w:firstLineChars="200"/>
        <w:rPr>
          <w:rFonts w:ascii="宋体" w:hAnsi="宋体"/>
          <w:b w:val="0"/>
          <w:bCs w:val="0"/>
          <w:color w:val="000000"/>
          <w:szCs w:val="21"/>
        </w:rPr>
      </w:pPr>
      <w:r>
        <w:rPr>
          <w:rFonts w:hint="eastAsia" w:ascii="宋体" w:hAnsi="宋体"/>
          <w:b w:val="0"/>
          <w:bCs w:val="0"/>
          <w:color w:val="000000"/>
          <w:szCs w:val="21"/>
        </w:rPr>
        <w:t>（六）汽车金融公司</w:t>
      </w:r>
    </w:p>
    <w:p>
      <w:pPr>
        <w:ind w:firstLine="420" w:firstLineChars="200"/>
        <w:rPr>
          <w:rFonts w:ascii="宋体" w:hAnsi="宋体"/>
          <w:b w:val="0"/>
          <w:bCs w:val="0"/>
          <w:color w:val="000000"/>
          <w:szCs w:val="21"/>
        </w:rPr>
      </w:pPr>
      <w:r>
        <w:rPr>
          <w:rFonts w:hint="eastAsia" w:ascii="宋体" w:hAnsi="宋体"/>
          <w:b w:val="0"/>
          <w:bCs w:val="0"/>
          <w:color w:val="000000"/>
          <w:szCs w:val="21"/>
        </w:rPr>
        <w:t>（七）小额贷款公司和贷款公司</w:t>
      </w:r>
    </w:p>
    <w:p>
      <w:pPr>
        <w:rPr>
          <w:rFonts w:hint="eastAsia" w:hAnsi="宋体"/>
          <w:sz w:val="24"/>
        </w:rPr>
      </w:pPr>
      <w:bookmarkStart w:id="1" w:name="OLE_LINK59"/>
      <w:bookmarkStart w:id="2" w:name="OLE_LINK58"/>
    </w:p>
    <w:p>
      <w:pPr>
        <w:rPr>
          <w:rFonts w:ascii="宋体" w:hAnsi="宋体" w:cs="宋体"/>
          <w:b/>
          <w:bCs/>
          <w:sz w:val="28"/>
          <w:szCs w:val="28"/>
        </w:rPr>
      </w:pPr>
      <w:r>
        <w:rPr>
          <w:rFonts w:hint="eastAsia" w:hAnsi="宋体"/>
          <w:b/>
          <w:bCs/>
          <w:sz w:val="24"/>
        </w:rPr>
        <w:t>2、</w:t>
      </w:r>
      <w:bookmarkEnd w:id="1"/>
      <w:bookmarkEnd w:id="2"/>
      <w:r>
        <w:rPr>
          <w:rFonts w:hint="eastAsia" w:hAnsi="宋体"/>
          <w:b/>
          <w:bCs/>
          <w:sz w:val="24"/>
        </w:rPr>
        <w:t>论述流动性偏好理论下均衡利率的决定。</w:t>
      </w:r>
    </w:p>
    <w:p>
      <w:pPr>
        <w:ind w:firstLine="420" w:firstLineChars="200"/>
        <w:rPr>
          <w:rFonts w:ascii="宋体" w:hAnsi="宋体"/>
        </w:rPr>
      </w:pPr>
      <w:r>
        <w:rPr>
          <w:rFonts w:hint="eastAsia" w:ascii="宋体" w:hAnsi="宋体"/>
        </w:rPr>
        <w:t>二十世纪三十年代资本主义经济大危机后，英国经济学家凯恩斯针对古典经济理论的缺陷，提出了一整套宏观经济理论。和传统的利率理论相反，凯恩斯认为利率不是决定于储蓄和投资的相互作用，而是决定于货币的供求数量。</w:t>
      </w:r>
    </w:p>
    <w:p>
      <w:pPr>
        <w:rPr>
          <w:rFonts w:ascii="宋体" w:hAnsi="宋体" w:cs="宋体"/>
          <w:b/>
          <w:bCs/>
          <w:sz w:val="28"/>
          <w:szCs w:val="28"/>
        </w:rPr>
      </w:pPr>
      <w:r>
        <w:rPr>
          <w:rFonts w:ascii="宋体" w:hAnsi="宋体" w:cs="宋体"/>
          <w:kern w:val="0"/>
          <w:sz w:val="24"/>
        </w:rPr>
        <w:pict>
          <v:group id="_x0000_s1026" o:spid="_x0000_s1026" o:spt="203" style="position:absolute;left:0pt;margin-left:43.1pt;margin-top:5.5pt;height:132.6pt;width:324pt;z-index:1024;mso-width-relative:page;mso-height-relative:page;" coordorigin="1680,672" coordsize="2352,1624">
            <o:lock v:ext="edit"/>
            <v:line id="_x0000_s1027" o:spid="_x0000_s1027" o:spt="20" style="position:absolute;left:1872;top:2112;height:0;width:2160;" coordsize="21600,21600">
              <v:path arrowok="t"/>
              <v:fill focussize="0,0"/>
              <v:stroke weight="1.5pt" endarrow="block"/>
              <v:imagedata o:title=""/>
              <o:lock v:ext="edit"/>
            </v:line>
            <v:line id="_x0000_s1028" o:spid="_x0000_s1028" o:spt="20" style="position:absolute;left:1872;top:720;flip:y;height:1392;width:0;" coordsize="21600,21600">
              <v:path arrowok="t"/>
              <v:fill focussize="0,0"/>
              <v:stroke weight="1.5pt" endarrow="block"/>
              <v:imagedata o:title=""/>
              <o:lock v:ext="edit"/>
            </v:line>
            <v:line id="_x0000_s1029" o:spid="_x0000_s1029" o:spt="20" style="position:absolute;left:2784;top:912;flip:y;height:1200;width:0;" coordsize="21600,21600">
              <v:path arrowok="t"/>
              <v:fill focussize="0,0"/>
              <v:stroke weight="1.5pt"/>
              <v:imagedata o:title=""/>
              <o:lock v:ext="edit"/>
            </v:line>
            <v:line id="_x0000_s1030" o:spid="_x0000_s1030" o:spt="20" style="position:absolute;left:3408;top:912;flip:y;height:1200;width:0;" coordsize="21600,21600">
              <v:path arrowok="t"/>
              <v:fill focussize="0,0"/>
              <v:stroke weight="1.5pt"/>
              <v:imagedata o:title=""/>
              <o:lock v:ext="edit"/>
            </v:line>
            <v:shape id="_x0000_s1031" o:spid="_x0000_s1031" o:spt="19" type="#_x0000_t19" style="position:absolute;left:2352;top:864;height:865;width:1396;rotation:12045374f;v-text-anchor:middle;" fillcolor="#00CC99" filled="f" coordsize="21409,21600" adj=",-499515">
              <v:path arrowok="t" o:connectlocs="0,0;21409,18735;0,21600"/>
              <v:fill on="f" focussize="0,0"/>
              <v:stroke weight="1.5pt"/>
              <v:imagedata o:title=""/>
              <o:lock v:ext="edit"/>
            </v:shape>
            <v:line id="_x0000_s1032" o:spid="_x0000_s1032" o:spt="20" style="position:absolute;left:1872;top:1488;flip:x;height:0;width:912;" coordsize="21600,21600">
              <v:path arrowok="t"/>
              <v:fill focussize="0,0"/>
              <v:stroke weight="1.5pt" dashstyle="dash"/>
              <v:imagedata o:title=""/>
              <o:lock v:ext="edit"/>
            </v:line>
            <v:line id="_x0000_s1033" o:spid="_x0000_s1033" o:spt="20" style="position:absolute;left:1872;top:1728;flip:x;height:0;width:1536;" coordsize="21600,21600">
              <v:path arrowok="t"/>
              <v:fill focussize="0,0"/>
              <v:stroke weight="1.5pt" dashstyle="dash"/>
              <v:imagedata o:title=""/>
              <o:lock v:ext="edit"/>
            </v:line>
            <v:shape id="_x0000_s1034" o:spid="_x0000_s1034" o:spt="75" type="#_x0000_t75" style="position:absolute;left:1680;top:1344;height:136;width:80;" o:ole="t" filled="f" o:preferrelative="t" stroked="f" coordsize="21600,21600">
              <v:path/>
              <v:fill on="f" focussize="0,0"/>
              <v:stroke on="f" joinstyle="miter"/>
              <v:imagedata r:id="rId6" o:title=""/>
              <o:lock v:ext="edit" aspectratio="t"/>
            </v:shape>
            <v:shape id="_x0000_s1035" o:spid="_x0000_s1035" o:spt="75" type="#_x0000_t75" style="position:absolute;left:1680;top:1584;height:136;width:88;" o:ole="t" filled="f" o:preferrelative="t" stroked="f" coordsize="21600,21600">
              <v:path/>
              <v:fill on="f" focussize="0,0"/>
              <v:stroke on="f" joinstyle="miter"/>
              <v:imagedata r:id="rId8" o:title=""/>
              <o:lock v:ext="edit" aspectratio="t"/>
            </v:shape>
            <v:shape id="_x0000_s1036" o:spid="_x0000_s1036" o:spt="75" type="#_x0000_t75" style="position:absolute;left:2016;top:672;height:136;width:432;" o:ole="t" filled="f" o:preferrelative="t" stroked="f" coordsize="21600,21600">
              <v:path/>
              <v:fill on="f" focussize="0,0"/>
              <v:stroke on="f" joinstyle="miter"/>
              <v:imagedata r:id="rId10" o:title=""/>
              <o:lock v:ext="edit" aspectratio="t"/>
            </v:shape>
            <v:shape id="_x0000_s1037" o:spid="_x0000_s1037" o:spt="75" type="#_x0000_t75" style="position:absolute;left:2832;top:768;height:176;width:152;" o:ole="t" filled="f" o:preferrelative="t" stroked="f" coordsize="21600,21600">
              <v:path/>
              <v:fill on="f" focussize="0,0"/>
              <v:stroke on="f" joinstyle="miter"/>
              <v:imagedata r:id="rId12" o:title=""/>
              <o:lock v:ext="edit" aspectratio="t"/>
            </v:shape>
            <v:shape id="_x0000_s1038" o:spid="_x0000_s1038" o:spt="75" type="#_x0000_t75" style="position:absolute;left:3449;top:816;height:176;width:160;" o:ole="t" filled="f" o:preferrelative="t" stroked="f" coordsize="21600,21600">
              <v:path/>
              <v:fill on="f" focussize="0,0"/>
              <v:stroke on="f" joinstyle="miter"/>
              <v:imagedata r:id="rId14" o:title=""/>
              <o:lock v:ext="edit" aspectratio="t"/>
            </v:shape>
            <v:shape id="_x0000_s1039" o:spid="_x0000_s1039" o:spt="75" type="#_x0000_t75" style="position:absolute;left:1728;top:2016;height:112;width:80;" o:ole="t" filled="f" o:preferrelative="t" stroked="f" coordsize="21600,21600">
              <v:path/>
              <v:fill on="f" focussize="0,0"/>
              <v:stroke on="f" joinstyle="miter"/>
              <v:imagedata r:id="rId16" o:title=""/>
              <o:lock v:ext="edit" aspectratio="t"/>
            </v:shape>
            <v:shape id="_x0000_s1040" o:spid="_x0000_s1040" o:spt="75" type="#_x0000_t75" style="position:absolute;left:2688;top:2160;height:136;width:144;" o:ole="t" filled="f" o:preferrelative="t" stroked="f" coordsize="21600,21600">
              <v:path/>
              <v:fill on="f" focussize="0,0"/>
              <v:stroke on="f" joinstyle="miter"/>
              <v:imagedata r:id="rId18" o:title=""/>
              <o:lock v:ext="edit" aspectratio="t"/>
            </v:shape>
            <v:shape id="_x0000_s1041" o:spid="_x0000_s1041" o:spt="75" type="#_x0000_t75" style="position:absolute;left:3312;top:2160;height:136;width:152;" o:ole="t" filled="f" o:preferrelative="t" stroked="f" coordsize="21600,21600">
              <v:path/>
              <v:fill on="f" focussize="0,0"/>
              <v:stroke on="f" joinstyle="miter"/>
              <v:imagedata r:id="rId20" o:title=""/>
              <o:lock v:ext="edit" aspectratio="t"/>
            </v:shape>
          </v:group>
          <o:OLEObject Type="Embed" ProgID="Equation.3" ShapeID="_x0000_s1034" DrawAspect="Content" ObjectID="_1468075725" r:id="rId5">
            <o:LockedField>false</o:LockedField>
          </o:OLEObject>
          <o:OLEObject Type="Embed" ProgID="Equation.3" ShapeID="_x0000_s1035" DrawAspect="Content" ObjectID="_1468075726" r:id="rId7">
            <o:LockedField>false</o:LockedField>
          </o:OLEObject>
          <o:OLEObject Type="Embed" ProgID="Equation.3" ShapeID="_x0000_s1036" DrawAspect="Content" ObjectID="_1468075727" r:id="rId9">
            <o:LockedField>false</o:LockedField>
          </o:OLEObject>
          <o:OLEObject Type="Embed" ProgID="Equation.3" ShapeID="_x0000_s1037" DrawAspect="Content" ObjectID="_1468075728" r:id="rId11">
            <o:LockedField>false</o:LockedField>
          </o:OLEObject>
          <o:OLEObject Type="Embed" ProgID="Equation.3" ShapeID="_x0000_s1038" DrawAspect="Content" ObjectID="_1468075729" r:id="rId13">
            <o:LockedField>false</o:LockedField>
          </o:OLEObject>
          <o:OLEObject Type="Embed" ProgID="Equation.3" ShapeID="_x0000_s1039" DrawAspect="Content" ObjectID="_1468075730" r:id="rId15">
            <o:LockedField>false</o:LockedField>
          </o:OLEObject>
          <o:OLEObject Type="Embed" ProgID="Equation.3" ShapeID="_x0000_s1040" DrawAspect="Content" ObjectID="_1468075731" r:id="rId17">
            <o:LockedField>false</o:LockedField>
          </o:OLEObject>
          <o:OLEObject Type="Embed" ProgID="Equation.3" ShapeID="_x0000_s1041" DrawAspect="Content" ObjectID="_1468075732" r:id="rId19">
            <o:LockedField>false</o:LockedField>
          </o:OLEObject>
        </w:pict>
      </w:r>
    </w:p>
    <w:p>
      <w:pPr>
        <w:rPr>
          <w:rFonts w:ascii="宋体" w:hAnsi="宋体" w:cs="宋体"/>
          <w:b/>
          <w:bCs/>
          <w:sz w:val="28"/>
          <w:szCs w:val="28"/>
        </w:rPr>
      </w:pPr>
    </w:p>
    <w:p>
      <w:pPr>
        <w:rPr>
          <w:rFonts w:ascii="宋体" w:hAnsi="宋体" w:cs="宋体"/>
          <w:b/>
          <w:bCs/>
          <w:sz w:val="28"/>
          <w:szCs w:val="28"/>
        </w:rPr>
      </w:pPr>
    </w:p>
    <w:p>
      <w:pPr>
        <w:rPr>
          <w:rFonts w:ascii="宋体" w:hAnsi="宋体" w:cs="宋体"/>
          <w:b/>
          <w:bCs/>
          <w:sz w:val="28"/>
          <w:szCs w:val="28"/>
        </w:rPr>
      </w:pPr>
    </w:p>
    <w:p>
      <w:pPr>
        <w:rPr>
          <w:rFonts w:ascii="宋体" w:hAnsi="宋体" w:cs="宋体"/>
          <w:b/>
          <w:bCs/>
          <w:sz w:val="28"/>
          <w:szCs w:val="28"/>
        </w:rPr>
      </w:pPr>
    </w:p>
    <w:p>
      <w:pPr>
        <w:spacing w:line="320" w:lineRule="exact"/>
        <w:ind w:firstLine="420" w:firstLineChars="200"/>
        <w:rPr>
          <w:rFonts w:ascii="宋体" w:hAnsi="宋体"/>
        </w:rPr>
      </w:pPr>
      <w:r>
        <w:rPr>
          <w:rFonts w:hint="eastAsia" w:ascii="宋体" w:hAnsi="宋体"/>
        </w:rPr>
        <w:t>凯恩斯认为，人们流动性偏好的动机有三个：交易动机、谨慎动机与投机动机。</w:t>
      </w:r>
      <w:r>
        <w:rPr>
          <w:rFonts w:hint="eastAsia" w:ascii="宋体" w:hAnsi="宋体"/>
          <w:color w:val="000000"/>
        </w:rPr>
        <w:t>其中交易动机和谨慎动机与收入成正比、而与利率无直接关系。如果用</w:t>
      </w:r>
      <w:r>
        <w:rPr>
          <w:rFonts w:hint="eastAsia" w:ascii="宋体" w:hAnsi="宋体"/>
          <w:color w:val="000000"/>
          <w:position w:val="-10"/>
        </w:rPr>
        <w:object>
          <v:shape id="_x0000_i1025" o:spt="75" type="#_x0000_t75" style="height:17pt;width:29.9pt;" o:ole="t" filled="f" o:preferrelative="t" stroked="f" coordsize="21600,21600">
            <v:path/>
            <v:fill on="f" focussize="0,0"/>
            <v:stroke on="f" joinstyle="miter"/>
            <v:imagedata r:id="rId22" o:title=""/>
            <o:lock v:ext="edit" aspectratio="t"/>
            <w10:wrap type="none"/>
            <w10:anchorlock/>
          </v:shape>
          <o:OLEObject Type="Embed" ProgID="Equation.3" ShapeID="_x0000_i1025" DrawAspect="Content" ObjectID="_1468075733" r:id="rId21">
            <o:LockedField>false</o:LockedField>
          </o:OLEObject>
        </w:object>
      </w:r>
      <w:r>
        <w:rPr>
          <w:rFonts w:hint="eastAsia" w:ascii="宋体" w:hAnsi="宋体"/>
          <w:color w:val="000000"/>
        </w:rPr>
        <w:t>表示因交易动机与谨慎动机而持有的货币量，</w:t>
      </w:r>
      <w:r>
        <w:rPr>
          <w:rFonts w:hint="eastAsia" w:ascii="宋体" w:hAnsi="宋体"/>
          <w:position w:val="-10"/>
        </w:rPr>
        <w:object>
          <v:shape id="_x0000_i1026" o:spt="75" type="#_x0000_t75" style="height:17pt;width:29.9pt;" o:ole="t" filled="f" o:preferrelative="t" stroked="f" coordsize="21600,21600">
            <v:path/>
            <v:fill on="f" focussize="0,0"/>
            <v:stroke on="f" joinstyle="miter"/>
            <v:imagedata r:id="rId22" o:title=""/>
            <o:lock v:ext="edit" aspectratio="t"/>
            <w10:wrap type="none"/>
            <w10:anchorlock/>
          </v:shape>
          <o:OLEObject Type="Embed" ProgID="Equation.3" ShapeID="_x0000_i1026" DrawAspect="Content" ObjectID="_1468075734" r:id="rId23">
            <o:LockedField>false</o:LockedField>
          </o:OLEObject>
        </w:object>
      </w:r>
      <w:r>
        <w:rPr>
          <w:rFonts w:hint="eastAsia" w:ascii="宋体" w:hAnsi="宋体"/>
        </w:rPr>
        <w:t>是收入</w:t>
      </w:r>
      <w:r>
        <w:rPr>
          <w:rFonts w:hint="eastAsia" w:ascii="宋体" w:hAnsi="宋体"/>
          <w:position w:val="-10"/>
        </w:rPr>
        <w:object>
          <v:shape id="_x0000_i1027" o:spt="75" type="#_x0000_t75" style="height:12.9pt;width:11.55pt;" o:ole="t" filled="f" o:preferrelative="t" stroked="f" coordsize="21600,21600">
            <v:path/>
            <v:fill on="f" focussize="0,0"/>
            <v:stroke on="f" joinstyle="miter"/>
            <v:imagedata r:id="rId25" o:title=""/>
            <o:lock v:ext="edit" aspectratio="t"/>
            <w10:wrap type="none"/>
            <w10:anchorlock/>
          </v:shape>
          <o:OLEObject Type="Embed" ProgID="Equation.3" ShapeID="_x0000_i1027" DrawAspect="Content" ObjectID="_1468075735" r:id="rId24">
            <o:LockedField>false</o:LockedField>
          </o:OLEObject>
        </w:object>
      </w:r>
      <w:r>
        <w:rPr>
          <w:rFonts w:hint="eastAsia" w:ascii="宋体" w:hAnsi="宋体"/>
        </w:rPr>
        <w:t>的增函数。投机动机与利率成反比，这是因为当市场利率较高时，债券价格相对便宜，人们愿意更多地购买债券、更少的持有货币量，以降低作为投机动机的货币持有成本。如果用</w:t>
      </w:r>
      <w:r>
        <w:rPr>
          <w:rFonts w:hint="eastAsia" w:ascii="宋体" w:hAnsi="宋体"/>
          <w:position w:val="-10"/>
        </w:rPr>
        <w:object>
          <v:shape id="_x0000_i1028" o:spt="75" type="#_x0000_t75" style="height:17pt;width:27.15pt;" o:ole="t" filled="f" o:preferrelative="t" stroked="f" coordsize="21600,21600">
            <v:path/>
            <v:fill on="f" focussize="0,0"/>
            <v:stroke on="f" joinstyle="miter"/>
            <v:imagedata r:id="rId27" o:title=""/>
            <o:lock v:ext="edit" aspectratio="t"/>
            <w10:wrap type="none"/>
            <w10:anchorlock/>
          </v:shape>
          <o:OLEObject Type="Embed" ProgID="Equation.3" ShapeID="_x0000_i1028" DrawAspect="Content" ObjectID="_1468075736" r:id="rId26">
            <o:LockedField>false</o:LockedField>
          </o:OLEObject>
        </w:object>
      </w:r>
      <w:r>
        <w:rPr>
          <w:rFonts w:hint="eastAsia" w:ascii="宋体" w:hAnsi="宋体"/>
        </w:rPr>
        <w:t>表示为投机动机而持有的货币量，</w:t>
      </w:r>
      <w:r>
        <w:rPr>
          <w:rFonts w:hint="eastAsia" w:ascii="宋体" w:hAnsi="宋体"/>
          <w:position w:val="-10"/>
        </w:rPr>
        <w:object>
          <v:shape id="_x0000_i1029" o:spt="75" type="#_x0000_t75" style="height:17pt;width:27.15pt;" o:ole="t" filled="f" o:preferrelative="t" stroked="f" coordsize="21600,21600">
            <v:path/>
            <v:fill on="f" focussize="0,0"/>
            <v:stroke on="f" joinstyle="miter"/>
            <v:imagedata r:id="rId29" o:title=""/>
            <o:lock v:ext="edit" aspectratio="t"/>
            <w10:wrap type="none"/>
            <w10:anchorlock/>
          </v:shape>
          <o:OLEObject Type="Embed" ProgID="Equation.3" ShapeID="_x0000_i1029" DrawAspect="Content" ObjectID="_1468075737" r:id="rId28">
            <o:LockedField>false</o:LockedField>
          </o:OLEObject>
        </w:object>
      </w:r>
      <w:r>
        <w:rPr>
          <w:rFonts w:hint="eastAsia" w:ascii="宋体" w:hAnsi="宋体"/>
        </w:rPr>
        <w:t>为利率</w:t>
      </w:r>
      <w:r>
        <w:rPr>
          <w:rFonts w:hint="eastAsia" w:ascii="宋体" w:hAnsi="宋体"/>
          <w:position w:val="-6"/>
        </w:rPr>
        <w:object>
          <v:shape id="_x0000_i1030" o:spt="75" type="#_x0000_t75" style="height:12.9pt;width:6.8pt;" o:ole="t" filled="f" o:preferrelative="t" stroked="f" coordsize="21600,21600">
            <v:path/>
            <v:fill on="f" focussize="0,0"/>
            <v:stroke on="f" joinstyle="miter"/>
            <v:imagedata r:id="rId31" o:title=""/>
            <o:lock v:ext="edit" aspectratio="t"/>
            <w10:wrap type="none"/>
            <w10:anchorlock/>
          </v:shape>
          <o:OLEObject Type="Embed" ProgID="Equation.3" ShapeID="_x0000_i1030" DrawAspect="Content" ObjectID="_1468075738" r:id="rId30">
            <o:LockedField>false</o:LockedField>
          </o:OLEObject>
        </w:object>
      </w:r>
      <w:r>
        <w:rPr>
          <w:rFonts w:hint="eastAsia" w:ascii="宋体" w:hAnsi="宋体"/>
        </w:rPr>
        <w:t>的减函数。货币的总需求量为</w:t>
      </w:r>
      <w:r>
        <w:rPr>
          <w:rFonts w:hint="eastAsia" w:ascii="宋体" w:hAnsi="宋体"/>
          <w:position w:val="-10"/>
        </w:rPr>
        <w:object>
          <v:shape id="_x0000_i1031" o:spt="75" type="#_x0000_t75" style="height:17pt;width:57.05pt;" o:ole="t" filled="f" o:preferrelative="t" stroked="f" coordsize="21600,21600">
            <v:path/>
            <v:fill on="f" focussize="0,0"/>
            <v:stroke on="f" joinstyle="miter"/>
            <v:imagedata r:id="rId33" o:title=""/>
            <o:lock v:ext="edit" aspectratio="t"/>
            <w10:wrap type="none"/>
            <w10:anchorlock/>
          </v:shape>
          <o:OLEObject Type="Embed" ProgID="Equation.3" ShapeID="_x0000_i1031" DrawAspect="Content" ObjectID="_1468075739" r:id="rId32">
            <o:LockedField>false</o:LockedField>
          </o:OLEObject>
        </w:object>
      </w:r>
      <w:r>
        <w:rPr>
          <w:rFonts w:hint="eastAsia" w:ascii="宋体" w:hAnsi="宋体"/>
        </w:rPr>
        <w:t>。</w:t>
      </w:r>
    </w:p>
    <w:p>
      <w:pPr>
        <w:spacing w:line="320" w:lineRule="exact"/>
        <w:ind w:firstLine="420" w:firstLineChars="200"/>
        <w:rPr>
          <w:rFonts w:ascii="宋体" w:hAnsi="宋体"/>
        </w:rPr>
      </w:pPr>
      <w:r>
        <w:rPr>
          <w:rFonts w:hint="eastAsia" w:ascii="宋体" w:hAnsi="宋体"/>
        </w:rPr>
        <w:t>图3-2中，</w:t>
      </w:r>
      <w:r>
        <w:rPr>
          <w:rFonts w:hint="eastAsia" w:ascii="宋体" w:hAnsi="宋体"/>
          <w:position w:val="-6"/>
        </w:rPr>
        <w:object>
          <v:shape id="_x0000_i1032" o:spt="75" type="#_x0000_t75" style="height:21.75pt;width:19pt;" o:ole="t" filled="f" o:preferrelative="t" stroked="f" coordsize="21600,21600">
            <v:path/>
            <v:fill on="f" focussize="0,0"/>
            <v:stroke on="f" joinstyle="miter"/>
            <v:imagedata r:id="rId35" o:title=""/>
            <o:lock v:ext="edit" aspectratio="t"/>
            <w10:wrap type="none"/>
            <w10:anchorlock/>
          </v:shape>
          <o:OLEObject Type="Embed" ProgID="Equation.3" ShapeID="_x0000_i1032" DrawAspect="Content" ObjectID="_1468075740" r:id="rId34">
            <o:LockedField>false</o:LockedField>
          </o:OLEObject>
        </w:object>
      </w:r>
      <w:r>
        <w:rPr>
          <w:rFonts w:hint="eastAsia" w:ascii="宋体" w:hAnsi="宋体"/>
        </w:rPr>
        <w:t>为货币供给曲线，由中央银行决定；货币需求曲线</w:t>
      </w:r>
      <w:r>
        <w:rPr>
          <w:rFonts w:hint="eastAsia" w:ascii="宋体" w:hAnsi="宋体"/>
          <w:position w:val="-10"/>
        </w:rPr>
        <w:object>
          <v:shape id="_x0000_i1033" o:spt="75" type="#_x0000_t75" style="height:17pt;width:57.05pt;" o:ole="t" filled="f" o:preferrelative="t" stroked="f" coordsize="21600,21600">
            <v:path/>
            <v:fill on="f" focussize="0,0"/>
            <v:stroke on="f" joinstyle="miter"/>
            <v:imagedata r:id="rId33" o:title=""/>
            <o:lock v:ext="edit" aspectratio="t"/>
            <w10:wrap type="none"/>
            <w10:anchorlock/>
          </v:shape>
          <o:OLEObject Type="Embed" ProgID="Equation.3" ShapeID="_x0000_i1033" DrawAspect="Content" ObjectID="_1468075741" r:id="rId36">
            <o:LockedField>false</o:LockedField>
          </o:OLEObject>
        </w:object>
      </w:r>
      <w:r>
        <w:rPr>
          <w:rFonts w:hint="eastAsia" w:ascii="宋体" w:hAnsi="宋体"/>
        </w:rPr>
        <w:t>是一条向下倾斜曲线，表明对货币的需求量</w:t>
      </w:r>
      <w:r>
        <w:rPr>
          <w:rFonts w:hint="eastAsia" w:ascii="宋体" w:hAnsi="宋体"/>
          <w:position w:val="-4"/>
        </w:rPr>
        <w:object>
          <v:shape id="_x0000_i1034" o:spt="75" type="#_x0000_t75" style="height:12.9pt;width:11.55pt;" o:ole="t" filled="f" o:preferrelative="t" stroked="f" coordsize="21600,21600">
            <v:path/>
            <v:fill on="f" focussize="0,0"/>
            <v:stroke on="f" joinstyle="miter"/>
            <v:imagedata r:id="rId38" o:title=""/>
            <o:lock v:ext="edit" aspectratio="t"/>
            <w10:wrap type="none"/>
            <w10:anchorlock/>
          </v:shape>
          <o:OLEObject Type="Embed" ProgID="Equation.3" ShapeID="_x0000_i1034" DrawAspect="Content" ObjectID="_1468075742" r:id="rId37">
            <o:LockedField>false</o:LockedField>
          </o:OLEObject>
        </w:object>
      </w:r>
      <w:r>
        <w:rPr>
          <w:rFonts w:hint="eastAsia" w:ascii="宋体" w:hAnsi="宋体"/>
        </w:rPr>
        <w:t>将随利率的下降而增加；货币供求状况决定了均衡利率</w:t>
      </w:r>
      <w:r>
        <w:rPr>
          <w:rFonts w:hint="eastAsia" w:ascii="宋体" w:hAnsi="宋体"/>
          <w:position w:val="-10"/>
        </w:rPr>
        <w:object>
          <v:shape id="_x0000_i1035" o:spt="75" type="#_x0000_t75" style="height:17pt;width:8.85pt;" o:ole="t" filled="f" o:preferrelative="t" stroked="f" coordsize="21600,21600">
            <v:path/>
            <v:fill on="f" focussize="0,0"/>
            <v:stroke on="f" joinstyle="miter"/>
            <v:imagedata r:id="rId40" o:title=""/>
            <o:lock v:ext="edit" aspectratio="t"/>
            <w10:wrap type="none"/>
            <w10:anchorlock/>
          </v:shape>
          <o:OLEObject Type="Embed" ProgID="Equation.3" ShapeID="_x0000_i1035" DrawAspect="Content" ObjectID="_1468075743" r:id="rId39">
            <o:LockedField>false</o:LockedField>
          </o:OLEObject>
        </w:object>
      </w:r>
      <w:r>
        <w:rPr>
          <w:rFonts w:hint="eastAsia" w:ascii="宋体" w:hAnsi="宋体"/>
        </w:rPr>
        <w:t>。如果中央银行增加货币供应，使货币供给曲线从</w:t>
      </w:r>
      <w:r>
        <w:rPr>
          <w:rFonts w:hint="eastAsia" w:ascii="宋体" w:hAnsi="宋体"/>
          <w:position w:val="-6"/>
        </w:rPr>
        <w:object>
          <v:shape id="_x0000_i1036" o:spt="75" type="#_x0000_t75" style="height:21.75pt;width:19pt;" o:ole="t" filled="f" o:preferrelative="t" stroked="f" coordsize="21600,21600">
            <v:path/>
            <v:fill on="f" focussize="0,0"/>
            <v:stroke on="f" joinstyle="miter"/>
            <v:imagedata r:id="rId35" o:title=""/>
            <o:lock v:ext="edit" aspectratio="t"/>
            <w10:wrap type="none"/>
            <w10:anchorlock/>
          </v:shape>
          <o:OLEObject Type="Embed" ProgID="Equation.3" ShapeID="_x0000_i1036" DrawAspect="Content" ObjectID="_1468075744" r:id="rId41">
            <o:LockedField>false</o:LockedField>
          </o:OLEObject>
        </w:object>
      </w:r>
      <w:r>
        <w:rPr>
          <w:rFonts w:hint="eastAsia" w:ascii="宋体" w:hAnsi="宋体"/>
        </w:rPr>
        <w:t>平移到</w:t>
      </w:r>
      <w:r>
        <w:rPr>
          <w:rFonts w:hint="eastAsia" w:ascii="宋体" w:hAnsi="宋体"/>
          <w:position w:val="-6"/>
        </w:rPr>
        <w:object>
          <v:shape id="_x0000_i1037" o:spt="75" type="#_x0000_t75" style="height:21.75pt;width:20.4pt;" o:ole="t" filled="f" o:preferrelative="t" stroked="f" coordsize="21600,21600">
            <v:path/>
            <v:fill on="f" focussize="0,0"/>
            <v:stroke on="f" joinstyle="miter"/>
            <v:imagedata r:id="rId43" o:title=""/>
            <o:lock v:ext="edit" aspectratio="t"/>
            <w10:wrap type="none"/>
            <w10:anchorlock/>
          </v:shape>
          <o:OLEObject Type="Embed" ProgID="Equation.3" ShapeID="_x0000_i1037" DrawAspect="Content" ObjectID="_1468075745" r:id="rId42">
            <o:LockedField>false</o:LockedField>
          </o:OLEObject>
        </w:object>
      </w:r>
      <w:r>
        <w:rPr>
          <w:rFonts w:hint="eastAsia" w:ascii="宋体" w:hAnsi="宋体"/>
        </w:rPr>
        <w:t>，均衡利率就下降到</w:t>
      </w:r>
      <w:r>
        <w:rPr>
          <w:rFonts w:hint="eastAsia" w:ascii="宋体" w:hAnsi="宋体"/>
          <w:position w:val="-10"/>
        </w:rPr>
        <w:object>
          <v:shape id="_x0000_i1038" o:spt="75" type="#_x0000_t75" style="height:17pt;width:9.5pt;" o:ole="t" filled="f" o:preferrelative="t" stroked="f" coordsize="21600,21600">
            <v:path/>
            <v:fill on="f" focussize="0,0"/>
            <v:stroke on="f" joinstyle="miter"/>
            <v:imagedata r:id="rId45" o:title=""/>
            <o:lock v:ext="edit" aspectratio="t"/>
            <w10:wrap type="none"/>
            <w10:anchorlock/>
          </v:shape>
          <o:OLEObject Type="Embed" ProgID="Equation.3" ShapeID="_x0000_i1038" DrawAspect="Content" ObjectID="_1468075746" r:id="rId44">
            <o:LockedField>false</o:LockedField>
          </o:OLEObject>
        </w:object>
      </w:r>
      <w:r>
        <w:rPr>
          <w:rFonts w:hint="eastAsia" w:ascii="宋体" w:hAnsi="宋体"/>
        </w:rPr>
        <w:t>。从图3-2可以看到，当货币需求曲线向右延伸时，逐渐与横轴平行，此时无论货币供给曲线</w:t>
      </w:r>
      <w:r>
        <w:rPr>
          <w:rFonts w:hint="eastAsia" w:ascii="宋体" w:hAnsi="宋体"/>
          <w:position w:val="-4"/>
        </w:rPr>
        <w:object>
          <v:shape id="_x0000_i1039" o:spt="75" type="#_x0000_t75" style="height:21.05pt;width:15.6pt;" o:ole="t" filled="f" o:preferrelative="t" stroked="f" coordsize="21600,21600">
            <v:path/>
            <v:fill on="f" focussize="0,0"/>
            <v:stroke on="f" joinstyle="miter"/>
            <v:imagedata r:id="rId47" o:title=""/>
            <o:lock v:ext="edit" aspectratio="t"/>
            <w10:wrap type="none"/>
            <w10:anchorlock/>
          </v:shape>
          <o:OLEObject Type="Embed" ProgID="Equation.3" ShapeID="_x0000_i1039" DrawAspect="Content" ObjectID="_1468075747" r:id="rId46">
            <o:LockedField>false</o:LockedField>
          </o:OLEObject>
        </w:object>
      </w:r>
      <w:r>
        <w:rPr>
          <w:rFonts w:hint="eastAsia" w:ascii="宋体" w:hAnsi="宋体"/>
        </w:rPr>
        <w:t>如何向右移动，即无论怎样增加货币供应量，均衡利率都会保持不变，这就是凯恩斯利率理论中著名的“流动性陷阱”假说。</w:t>
      </w:r>
    </w:p>
    <w:p>
      <w:pPr>
        <w:rPr>
          <w:rFonts w:ascii="宋体" w:cs="宋体"/>
          <w:b/>
          <w:bCs/>
          <w:sz w:val="28"/>
          <w:szCs w:val="28"/>
        </w:rPr>
      </w:pPr>
      <w:r>
        <w:rPr>
          <w:rFonts w:hint="eastAsia" w:ascii="宋体" w:hAnsi="宋体" w:cs="宋体"/>
          <w:b/>
          <w:bCs/>
          <w:sz w:val="28"/>
          <w:szCs w:val="28"/>
        </w:rPr>
        <w:t>四、计算题</w:t>
      </w:r>
    </w:p>
    <w:p>
      <w:pPr>
        <w:pStyle w:val="9"/>
        <w:widowControl/>
        <w:ind w:firstLine="0" w:firstLineChars="0"/>
        <w:jc w:val="left"/>
        <w:textAlignment w:val="baseline"/>
        <w:rPr>
          <w:sz w:val="24"/>
        </w:rPr>
      </w:pPr>
      <w:r>
        <w:rPr>
          <w:rFonts w:hint="eastAsia"/>
          <w:sz w:val="24"/>
        </w:rPr>
        <w:t>假设当前</w:t>
      </w:r>
      <w:r>
        <w:rPr>
          <w:sz w:val="24"/>
        </w:rPr>
        <w:t>1</w:t>
      </w:r>
      <w:r>
        <w:rPr>
          <w:rFonts w:hint="eastAsia"/>
          <w:sz w:val="24"/>
        </w:rPr>
        <w:t>年期零息债券的到期收益率为</w:t>
      </w:r>
      <w:r>
        <w:rPr>
          <w:sz w:val="24"/>
        </w:rPr>
        <w:t>5%</w:t>
      </w:r>
      <w:r>
        <w:rPr>
          <w:rFonts w:hint="eastAsia"/>
          <w:sz w:val="24"/>
        </w:rPr>
        <w:t>，</w:t>
      </w:r>
      <w:r>
        <w:rPr>
          <w:sz w:val="24"/>
        </w:rPr>
        <w:t>2</w:t>
      </w:r>
      <w:r>
        <w:rPr>
          <w:rFonts w:hint="eastAsia"/>
          <w:sz w:val="24"/>
        </w:rPr>
        <w:t>年期零息债券的到期收益率为</w:t>
      </w:r>
      <w:r>
        <w:rPr>
          <w:sz w:val="24"/>
        </w:rPr>
        <w:t>8%</w:t>
      </w:r>
      <w:r>
        <w:rPr>
          <w:rFonts w:hint="eastAsia"/>
          <w:sz w:val="24"/>
        </w:rPr>
        <w:t>，根据下列要求计算零息债券的到期收益率：</w:t>
      </w:r>
    </w:p>
    <w:p>
      <w:pPr>
        <w:pStyle w:val="5"/>
        <w:spacing w:before="115" w:beforeAutospacing="0" w:after="0" w:afterAutospacing="0"/>
        <w:textAlignment w:val="baseline"/>
        <w:rPr>
          <w:rFonts w:ascii="Calibri" w:hAnsi="Calibri" w:cs="Times New Roman"/>
          <w:kern w:val="2"/>
        </w:rPr>
      </w:pPr>
      <w:r>
        <w:rPr>
          <w:rFonts w:ascii="Calibri" w:hAnsi="Calibri" w:cs="Times New Roman"/>
          <w:kern w:val="2"/>
        </w:rPr>
        <w:t xml:space="preserve">   （1</w:t>
      </w:r>
      <w:r>
        <w:rPr>
          <w:rFonts w:hint="eastAsia" w:ascii="Calibri" w:hAnsi="Calibri" w:cs="Times New Roman"/>
          <w:kern w:val="2"/>
        </w:rPr>
        <w:t>）如果利率期限结构的预期理论是正确的，则市场预期明年的</w:t>
      </w:r>
      <w:r>
        <w:rPr>
          <w:rFonts w:ascii="Calibri" w:hAnsi="Calibri" w:cs="Times New Roman"/>
          <w:kern w:val="2"/>
        </w:rPr>
        <w:t>1</w:t>
      </w:r>
      <w:r>
        <w:rPr>
          <w:rFonts w:hint="eastAsia" w:ascii="Calibri" w:hAnsi="Calibri" w:cs="Times New Roman"/>
          <w:kern w:val="2"/>
        </w:rPr>
        <w:t>年期零息债券的到期收益率是多少？</w:t>
      </w:r>
    </w:p>
    <w:p>
      <w:pPr>
        <w:spacing w:line="360" w:lineRule="auto"/>
        <w:rPr>
          <w:sz w:val="24"/>
        </w:rPr>
      </w:pPr>
      <w:r>
        <w:rPr>
          <w:sz w:val="24"/>
        </w:rPr>
        <w:t xml:space="preserve">   （2</w:t>
      </w:r>
      <w:r>
        <w:rPr>
          <w:rFonts w:hint="eastAsia"/>
          <w:sz w:val="24"/>
        </w:rPr>
        <w:t>）如果你认为期限选择理论是正确的，且流动性溢价为</w:t>
      </w:r>
      <w:r>
        <w:rPr>
          <w:sz w:val="24"/>
        </w:rPr>
        <w:t>1%</w:t>
      </w:r>
      <w:r>
        <w:rPr>
          <w:rFonts w:hint="eastAsia"/>
          <w:sz w:val="24"/>
        </w:rPr>
        <w:t>，则市场预期明年的</w:t>
      </w:r>
      <w:r>
        <w:rPr>
          <w:sz w:val="24"/>
        </w:rPr>
        <w:t>1</w:t>
      </w:r>
      <w:r>
        <w:rPr>
          <w:rFonts w:hint="eastAsia"/>
          <w:sz w:val="24"/>
        </w:rPr>
        <w:t>年期零息债券的到期收益率是多少？</w:t>
      </w:r>
    </w:p>
    <w:p>
      <w:pPr>
        <w:rPr>
          <w:rFonts w:ascii="宋体" w:cs="宋体"/>
          <w:sz w:val="28"/>
          <w:szCs w:val="28"/>
        </w:rPr>
      </w:pPr>
    </w:p>
    <w:p>
      <w:pPr>
        <w:rPr>
          <w:rFonts w:ascii="宋体" w:cs="宋体"/>
          <w:sz w:val="28"/>
          <w:szCs w:val="28"/>
        </w:rPr>
      </w:pPr>
      <w:r>
        <w:rPr>
          <w:rFonts w:hint="eastAsia" w:ascii="宋体" w:cs="宋体"/>
          <w:sz w:val="28"/>
          <w:szCs w:val="28"/>
        </w:rPr>
        <w:t>答案：</w:t>
      </w:r>
    </w:p>
    <w:p>
      <w:pPr>
        <w:rPr>
          <w:rFonts w:ascii="宋体" w:cs="宋体"/>
          <w:sz w:val="28"/>
          <w:szCs w:val="28"/>
        </w:rPr>
      </w:pPr>
      <w:r>
        <w:rPr>
          <w:rFonts w:hint="eastAsia" w:ascii="宋体" w:cs="宋体"/>
          <w:sz w:val="28"/>
          <w:szCs w:val="28"/>
        </w:rPr>
        <w:t>（1）8%×2-5%=11%</w:t>
      </w:r>
    </w:p>
    <w:p>
      <w:pPr>
        <w:rPr>
          <w:rFonts w:ascii="宋体" w:cs="宋体"/>
          <w:sz w:val="28"/>
          <w:szCs w:val="28"/>
        </w:rPr>
      </w:pPr>
      <w:r>
        <w:rPr>
          <w:rFonts w:hint="eastAsia" w:ascii="宋体" w:cs="宋体"/>
          <w:sz w:val="28"/>
          <w:szCs w:val="28"/>
        </w:rPr>
        <w:t>（2）（8%-1%）×2-5%=9%</w:t>
      </w:r>
    </w:p>
    <w:p>
      <w:pPr>
        <w:rPr>
          <w:rFonts w:ascii="宋体" w:cs="宋体"/>
          <w:sz w:val="28"/>
          <w:szCs w:val="28"/>
        </w:rPr>
      </w:pPr>
    </w:p>
    <w:p>
      <w:pPr>
        <w:rPr>
          <w:rFonts w:ascii="宋体" w:cs="宋体"/>
          <w:sz w:val="28"/>
          <w:szCs w:val="28"/>
        </w:rPr>
      </w:pPr>
    </w:p>
    <w:p>
      <w:pPr>
        <w:rPr>
          <w:rFonts w:ascii="宋体" w:cs="宋体"/>
          <w:sz w:val="28"/>
          <w:szCs w:val="28"/>
        </w:rPr>
      </w:pPr>
    </w:p>
    <w:p>
      <w:pPr>
        <w:rPr>
          <w:rFonts w:asci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cs="宋体"/>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行楷">
    <w:altName w:val="微软雅黑"/>
    <w:panose1 w:val="0201080004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1</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364510B4"/>
    <w:rsid w:val="0000107B"/>
    <w:rsid w:val="000E06E0"/>
    <w:rsid w:val="00105046"/>
    <w:rsid w:val="001507A2"/>
    <w:rsid w:val="002120D3"/>
    <w:rsid w:val="00244E4D"/>
    <w:rsid w:val="00246F5A"/>
    <w:rsid w:val="002A7AB2"/>
    <w:rsid w:val="002B33E2"/>
    <w:rsid w:val="0030144A"/>
    <w:rsid w:val="00353F9C"/>
    <w:rsid w:val="00374EA1"/>
    <w:rsid w:val="00392455"/>
    <w:rsid w:val="00491CBB"/>
    <w:rsid w:val="004D3F47"/>
    <w:rsid w:val="005277C1"/>
    <w:rsid w:val="0054442E"/>
    <w:rsid w:val="005554E0"/>
    <w:rsid w:val="00560C2D"/>
    <w:rsid w:val="0058508E"/>
    <w:rsid w:val="005859B0"/>
    <w:rsid w:val="00602EEF"/>
    <w:rsid w:val="006069F5"/>
    <w:rsid w:val="00631221"/>
    <w:rsid w:val="00645B3E"/>
    <w:rsid w:val="0066443D"/>
    <w:rsid w:val="006745D3"/>
    <w:rsid w:val="00684DF7"/>
    <w:rsid w:val="00690C84"/>
    <w:rsid w:val="006B2068"/>
    <w:rsid w:val="007A31D2"/>
    <w:rsid w:val="007D3618"/>
    <w:rsid w:val="00873FCE"/>
    <w:rsid w:val="008F0423"/>
    <w:rsid w:val="0090150E"/>
    <w:rsid w:val="009156D5"/>
    <w:rsid w:val="00931034"/>
    <w:rsid w:val="009B1056"/>
    <w:rsid w:val="009D7DCE"/>
    <w:rsid w:val="00A23AE8"/>
    <w:rsid w:val="00A85834"/>
    <w:rsid w:val="00AE777D"/>
    <w:rsid w:val="00B04874"/>
    <w:rsid w:val="00B2270E"/>
    <w:rsid w:val="00B5152E"/>
    <w:rsid w:val="00B70BBC"/>
    <w:rsid w:val="00B862DC"/>
    <w:rsid w:val="00BA1AAF"/>
    <w:rsid w:val="00BA5D47"/>
    <w:rsid w:val="00BB6B54"/>
    <w:rsid w:val="00BC2F26"/>
    <w:rsid w:val="00BD6E5F"/>
    <w:rsid w:val="00C23011"/>
    <w:rsid w:val="00C44D34"/>
    <w:rsid w:val="00CC3ECB"/>
    <w:rsid w:val="00CD73D5"/>
    <w:rsid w:val="00CE48CE"/>
    <w:rsid w:val="00D27A0E"/>
    <w:rsid w:val="00D868D5"/>
    <w:rsid w:val="00DA4401"/>
    <w:rsid w:val="00DA733D"/>
    <w:rsid w:val="00DB195F"/>
    <w:rsid w:val="00DB7A84"/>
    <w:rsid w:val="00E258B9"/>
    <w:rsid w:val="00E52533"/>
    <w:rsid w:val="00E714BB"/>
    <w:rsid w:val="00F23091"/>
    <w:rsid w:val="00F27D98"/>
    <w:rsid w:val="090E55D1"/>
    <w:rsid w:val="0C3F67CA"/>
    <w:rsid w:val="0C4C2011"/>
    <w:rsid w:val="244E1885"/>
    <w:rsid w:val="24DB67BF"/>
    <w:rsid w:val="264529F7"/>
    <w:rsid w:val="2B3E384B"/>
    <w:rsid w:val="2F204929"/>
    <w:rsid w:val="364510B4"/>
    <w:rsid w:val="39277864"/>
    <w:rsid w:val="3B327558"/>
    <w:rsid w:val="3E1D60DB"/>
    <w:rsid w:val="40F21C7A"/>
    <w:rsid w:val="43D132D3"/>
    <w:rsid w:val="4A831FE8"/>
    <w:rsid w:val="50585E8F"/>
    <w:rsid w:val="511049AA"/>
    <w:rsid w:val="545F0A4D"/>
    <w:rsid w:val="609C70B8"/>
    <w:rsid w:val="68952F3E"/>
    <w:rsid w:val="69D7276C"/>
    <w:rsid w:val="6A1C36D0"/>
    <w:rsid w:val="79383F6C"/>
    <w:rsid w:val="7CBB4A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arc" idref="#_x0000_s103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2"/>
    <w:basedOn w:val="1"/>
    <w:link w:val="12"/>
    <w:uiPriority w:val="0"/>
    <w:pPr>
      <w:widowControl/>
      <w:ind w:firstLine="420" w:firstLineChars="200"/>
    </w:pPr>
    <w:rPr>
      <w:rFonts w:ascii="宋体" w:hAnsi="宋体"/>
      <w:kern w:val="0"/>
      <w:szCs w:val="20"/>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7">
    <w:name w:val="Hyperlink"/>
    <w:semiHidden/>
    <w:unhideWhenUsed/>
    <w:uiPriority w:val="99"/>
    <w:rPr>
      <w:color w:val="0000FF"/>
      <w:u w:val="single"/>
    </w:rPr>
  </w:style>
  <w:style w:type="paragraph" w:styleId="9">
    <w:name w:val="List Paragraph"/>
    <w:basedOn w:val="1"/>
    <w:qFormat/>
    <w:uiPriority w:val="34"/>
    <w:pPr>
      <w:ind w:firstLine="420" w:firstLineChars="200"/>
    </w:pPr>
  </w:style>
  <w:style w:type="character" w:customStyle="1" w:styleId="10">
    <w:name w:val="页眉 Char"/>
    <w:link w:val="4"/>
    <w:qFormat/>
    <w:uiPriority w:val="99"/>
    <w:rPr>
      <w:sz w:val="18"/>
      <w:szCs w:val="18"/>
    </w:rPr>
  </w:style>
  <w:style w:type="character" w:customStyle="1" w:styleId="11">
    <w:name w:val="页脚 Char"/>
    <w:link w:val="3"/>
    <w:qFormat/>
    <w:uiPriority w:val="99"/>
    <w:rPr>
      <w:sz w:val="18"/>
      <w:szCs w:val="18"/>
    </w:rPr>
  </w:style>
  <w:style w:type="character" w:customStyle="1" w:styleId="12">
    <w:name w:val="正文文本缩进 2 Char"/>
    <w:link w:val="2"/>
    <w:uiPriority w:val="0"/>
    <w:rPr>
      <w:rFonts w:ascii="宋体" w:hAnsi="宋体"/>
      <w:sz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20.wmf"/><Relationship Id="rId46" Type="http://schemas.openxmlformats.org/officeDocument/2006/relationships/oleObject" Target="embeddings/oleObject23.bin"/><Relationship Id="rId45" Type="http://schemas.openxmlformats.org/officeDocument/2006/relationships/image" Target="media/image19.wmf"/><Relationship Id="rId44" Type="http://schemas.openxmlformats.org/officeDocument/2006/relationships/oleObject" Target="embeddings/oleObject22.bin"/><Relationship Id="rId43" Type="http://schemas.openxmlformats.org/officeDocument/2006/relationships/image" Target="media/image18.wmf"/><Relationship Id="rId42" Type="http://schemas.openxmlformats.org/officeDocument/2006/relationships/oleObject" Target="embeddings/oleObject21.bin"/><Relationship Id="rId41" Type="http://schemas.openxmlformats.org/officeDocument/2006/relationships/oleObject" Target="embeddings/oleObject20.bin"/><Relationship Id="rId40" Type="http://schemas.openxmlformats.org/officeDocument/2006/relationships/image" Target="media/image17.wmf"/><Relationship Id="rId4" Type="http://schemas.openxmlformats.org/officeDocument/2006/relationships/theme" Target="theme/theme1.xml"/><Relationship Id="rId39" Type="http://schemas.openxmlformats.org/officeDocument/2006/relationships/oleObject" Target="embeddings/oleObject19.bin"/><Relationship Id="rId38" Type="http://schemas.openxmlformats.org/officeDocument/2006/relationships/image" Target="media/image16.wmf"/><Relationship Id="rId37" Type="http://schemas.openxmlformats.org/officeDocument/2006/relationships/oleObject" Target="embeddings/oleObject18.bin"/><Relationship Id="rId36" Type="http://schemas.openxmlformats.org/officeDocument/2006/relationships/oleObject" Target="embeddings/oleObject17.bin"/><Relationship Id="rId35" Type="http://schemas.openxmlformats.org/officeDocument/2006/relationships/image" Target="media/image15.wmf"/><Relationship Id="rId34" Type="http://schemas.openxmlformats.org/officeDocument/2006/relationships/oleObject" Target="embeddings/oleObject16.bin"/><Relationship Id="rId33" Type="http://schemas.openxmlformats.org/officeDocument/2006/relationships/image" Target="media/image14.wmf"/><Relationship Id="rId32" Type="http://schemas.openxmlformats.org/officeDocument/2006/relationships/oleObject" Target="embeddings/oleObject15.bin"/><Relationship Id="rId31" Type="http://schemas.openxmlformats.org/officeDocument/2006/relationships/image" Target="media/image13.wmf"/><Relationship Id="rId30" Type="http://schemas.openxmlformats.org/officeDocument/2006/relationships/oleObject" Target="embeddings/oleObject14.bin"/><Relationship Id="rId3" Type="http://schemas.openxmlformats.org/officeDocument/2006/relationships/footer" Target="footer1.xml"/><Relationship Id="rId29" Type="http://schemas.openxmlformats.org/officeDocument/2006/relationships/image" Target="media/image12.wmf"/><Relationship Id="rId28" Type="http://schemas.openxmlformats.org/officeDocument/2006/relationships/oleObject" Target="embeddings/oleObject13.bin"/><Relationship Id="rId27" Type="http://schemas.openxmlformats.org/officeDocument/2006/relationships/image" Target="media/image11.wmf"/><Relationship Id="rId26" Type="http://schemas.openxmlformats.org/officeDocument/2006/relationships/oleObject" Target="embeddings/oleObject12.bin"/><Relationship Id="rId25" Type="http://schemas.openxmlformats.org/officeDocument/2006/relationships/image" Target="media/image10.wmf"/><Relationship Id="rId24" Type="http://schemas.openxmlformats.org/officeDocument/2006/relationships/oleObject" Target="embeddings/oleObject11.bin"/><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604</Words>
  <Characters>3445</Characters>
  <Lines>28</Lines>
  <Paragraphs>8</Paragraphs>
  <TotalTime>381</TotalTime>
  <ScaleCrop>false</ScaleCrop>
  <LinksUpToDate>false</LinksUpToDate>
  <CharactersWithSpaces>4041</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2017-04-06T12:12:00Z</dcterms:created>
  <dc:creator>Lenovo</dc:creator>
  <cp:lastModifiedBy>Administrator</cp:lastModifiedBy>
  <dcterms:modified xsi:type="dcterms:W3CDTF">2021-12-17T07:49:34Z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